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6C0A" w14:textId="77777777" w:rsidR="0022552F" w:rsidRPr="00B30336" w:rsidRDefault="0022552F" w:rsidP="0022552F">
      <w:pPr>
        <w:jc w:val="center"/>
        <w:rPr>
          <w:rFonts w:eastAsia="Times New Roman" w:cstheme="minorHAnsi"/>
          <w:b/>
          <w:bCs/>
          <w:color w:val="000000" w:themeColor="text1"/>
          <w:sz w:val="32"/>
          <w:szCs w:val="32"/>
        </w:rPr>
      </w:pPr>
      <w:r w:rsidRPr="00B30336">
        <w:rPr>
          <w:rFonts w:cstheme="minorHAnsi"/>
          <w:b/>
          <w:bCs/>
          <w:sz w:val="32"/>
          <w:szCs w:val="32"/>
        </w:rPr>
        <w:t xml:space="preserve">Improving assessment practices for inclusivity: The impact of course wide implementation of five initiatives to improve assessment literacy </w:t>
      </w:r>
      <w:r w:rsidRPr="00B30336">
        <w:rPr>
          <w:rFonts w:eastAsia="Times New Roman" w:cstheme="minorHAnsi"/>
          <w:b/>
          <w:bCs/>
          <w:color w:val="000000" w:themeColor="text1"/>
          <w:sz w:val="32"/>
          <w:szCs w:val="32"/>
        </w:rPr>
        <w:t>and equity of opportunity for students.</w:t>
      </w:r>
    </w:p>
    <w:p w14:paraId="23FDA2D0" w14:textId="502E4014" w:rsidR="0022552F" w:rsidRPr="00B30336" w:rsidRDefault="0022552F" w:rsidP="0022552F">
      <w:pPr>
        <w:jc w:val="center"/>
        <w:rPr>
          <w:rFonts w:cstheme="minorHAnsi"/>
          <w:sz w:val="24"/>
          <w:szCs w:val="24"/>
        </w:rPr>
      </w:pPr>
      <w:r>
        <w:rPr>
          <w:b/>
          <w:bCs/>
        </w:rPr>
        <w:t xml:space="preserve">Presented at: </w:t>
      </w:r>
      <w:r w:rsidRPr="00077CD6">
        <w:rPr>
          <w:b/>
          <w:bCs/>
        </w:rPr>
        <w:t>TILT Conference</w:t>
      </w:r>
      <w:r>
        <w:rPr>
          <w:b/>
          <w:bCs/>
        </w:rPr>
        <w:t xml:space="preserve"> </w:t>
      </w:r>
      <w:r>
        <w:rPr>
          <w:b/>
          <w:bCs/>
        </w:rPr>
        <w:t xml:space="preserve">June </w:t>
      </w:r>
      <w:r>
        <w:rPr>
          <w:b/>
          <w:bCs/>
        </w:rPr>
        <w:t>2022</w:t>
      </w:r>
    </w:p>
    <w:p w14:paraId="545BBD9C" w14:textId="77777777" w:rsidR="0022552F" w:rsidRPr="00B30336" w:rsidRDefault="0022552F" w:rsidP="0022552F">
      <w:pPr>
        <w:jc w:val="center"/>
        <w:rPr>
          <w:b/>
          <w:bCs/>
        </w:rPr>
      </w:pPr>
      <w:r w:rsidRPr="00B30336">
        <w:rPr>
          <w:b/>
          <w:bCs/>
        </w:rPr>
        <w:t xml:space="preserve"> </w:t>
      </w:r>
      <w:r>
        <w:rPr>
          <w:b/>
          <w:bCs/>
        </w:rPr>
        <w:t>Amy Allen – amy.allen02@ntu.ac.uk</w:t>
      </w:r>
    </w:p>
    <w:p w14:paraId="3F1E9E3B" w14:textId="09825DAA" w:rsidR="0022552F" w:rsidRPr="00B30336" w:rsidRDefault="0022552F" w:rsidP="0022552F">
      <w:pPr>
        <w:rPr>
          <w:rFonts w:cstheme="minorHAnsi"/>
          <w:b/>
          <w:bCs/>
          <w:sz w:val="24"/>
          <w:szCs w:val="24"/>
        </w:rPr>
      </w:pPr>
      <w:r>
        <w:rPr>
          <w:rFonts w:cstheme="minorHAnsi"/>
          <w:b/>
          <w:bCs/>
          <w:sz w:val="24"/>
          <w:szCs w:val="24"/>
        </w:rPr>
        <w:t xml:space="preserve">Link to Prezi Presentation: </w:t>
      </w:r>
      <w:hyperlink r:id="rId5" w:history="1">
        <w:r w:rsidRPr="00932A90">
          <w:rPr>
            <w:rStyle w:val="Hyperlink"/>
            <w:rFonts w:cstheme="minorHAnsi"/>
            <w:b/>
            <w:bCs/>
            <w:sz w:val="24"/>
            <w:szCs w:val="24"/>
          </w:rPr>
          <w:t>https://prezi.co</w:t>
        </w:r>
        <w:r w:rsidRPr="00932A90">
          <w:rPr>
            <w:rStyle w:val="Hyperlink"/>
            <w:rFonts w:cstheme="minorHAnsi"/>
            <w:b/>
            <w:bCs/>
            <w:sz w:val="24"/>
            <w:szCs w:val="24"/>
          </w:rPr>
          <w:t>m</w:t>
        </w:r>
        <w:r w:rsidRPr="00932A90">
          <w:rPr>
            <w:rStyle w:val="Hyperlink"/>
            <w:rFonts w:cstheme="minorHAnsi"/>
            <w:b/>
            <w:bCs/>
            <w:sz w:val="24"/>
            <w:szCs w:val="24"/>
          </w:rPr>
          <w:t>/view/ljSeNaR00Do5bEQFeT1V/</w:t>
        </w:r>
      </w:hyperlink>
    </w:p>
    <w:p w14:paraId="50B2730E" w14:textId="77777777" w:rsidR="0022552F" w:rsidRPr="00B30336" w:rsidRDefault="0022552F" w:rsidP="0022552F">
      <w:pPr>
        <w:rPr>
          <w:rFonts w:cstheme="minorHAnsi"/>
          <w:b/>
          <w:bCs/>
          <w:sz w:val="24"/>
          <w:szCs w:val="24"/>
        </w:rPr>
      </w:pPr>
      <w:r>
        <w:rPr>
          <w:rFonts w:cstheme="minorHAnsi"/>
          <w:b/>
          <w:bCs/>
          <w:sz w:val="24"/>
          <w:szCs w:val="24"/>
        </w:rPr>
        <w:t>Overview of Project:</w:t>
      </w:r>
    </w:p>
    <w:p w14:paraId="68F4C529" w14:textId="77777777" w:rsidR="0022552F" w:rsidRDefault="0022552F" w:rsidP="0022552F">
      <w:pPr>
        <w:rPr>
          <w:rFonts w:cstheme="minorHAnsi"/>
          <w:sz w:val="24"/>
          <w:szCs w:val="24"/>
        </w:rPr>
      </w:pPr>
      <w:r w:rsidRPr="00B30336">
        <w:rPr>
          <w:rFonts w:cstheme="minorHAnsi"/>
          <w:sz w:val="24"/>
          <w:szCs w:val="24"/>
        </w:rPr>
        <w:t xml:space="preserve">The presentation follows a three-year project investigating ways to reduce the disparities in achievement between students entering the course from BTEC qualifications and those entering from A-levels. With a high percentage of </w:t>
      </w:r>
      <w:r>
        <w:rPr>
          <w:rFonts w:cstheme="minorHAnsi"/>
          <w:sz w:val="24"/>
          <w:szCs w:val="24"/>
        </w:rPr>
        <w:t xml:space="preserve">NTU’s </w:t>
      </w:r>
      <w:r w:rsidRPr="00B30336">
        <w:rPr>
          <w:rFonts w:cstheme="minorHAnsi"/>
          <w:sz w:val="24"/>
          <w:szCs w:val="24"/>
        </w:rPr>
        <w:t xml:space="preserve">student body </w:t>
      </w:r>
      <w:r>
        <w:rPr>
          <w:rFonts w:cstheme="minorHAnsi"/>
          <w:sz w:val="24"/>
          <w:szCs w:val="24"/>
        </w:rPr>
        <w:t xml:space="preserve">entering </w:t>
      </w:r>
      <w:r w:rsidRPr="00B30336">
        <w:rPr>
          <w:rFonts w:cstheme="minorHAnsi"/>
          <w:sz w:val="24"/>
          <w:szCs w:val="24"/>
        </w:rPr>
        <w:t xml:space="preserve">from BTEC or vocational backgrounds, the findings of this project </w:t>
      </w:r>
      <w:r>
        <w:rPr>
          <w:rFonts w:cstheme="minorHAnsi"/>
          <w:sz w:val="24"/>
          <w:szCs w:val="24"/>
        </w:rPr>
        <w:t>are of</w:t>
      </w:r>
      <w:r w:rsidRPr="00B30336">
        <w:rPr>
          <w:rFonts w:cstheme="minorHAnsi"/>
          <w:sz w:val="24"/>
          <w:szCs w:val="24"/>
        </w:rPr>
        <w:t xml:space="preserve"> valu</w:t>
      </w:r>
      <w:r>
        <w:rPr>
          <w:rFonts w:cstheme="minorHAnsi"/>
          <w:sz w:val="24"/>
          <w:szCs w:val="24"/>
        </w:rPr>
        <w:t>e</w:t>
      </w:r>
      <w:r w:rsidRPr="00B30336">
        <w:rPr>
          <w:rFonts w:cstheme="minorHAnsi"/>
          <w:sz w:val="24"/>
          <w:szCs w:val="24"/>
        </w:rPr>
        <w:t xml:space="preserve"> to any</w:t>
      </w:r>
      <w:r>
        <w:rPr>
          <w:rFonts w:cstheme="minorHAnsi"/>
          <w:sz w:val="24"/>
          <w:szCs w:val="24"/>
        </w:rPr>
        <w:t>one</w:t>
      </w:r>
      <w:r w:rsidRPr="00B30336">
        <w:rPr>
          <w:rFonts w:cstheme="minorHAnsi"/>
          <w:sz w:val="24"/>
          <w:szCs w:val="24"/>
        </w:rPr>
        <w:t xml:space="preserve"> with a role in designing assessments or supporting students to achieve in their assessments.</w:t>
      </w:r>
    </w:p>
    <w:p w14:paraId="113CB760" w14:textId="77777777" w:rsidR="0022552F" w:rsidRPr="00B30336" w:rsidRDefault="0022552F" w:rsidP="0022552F">
      <w:pPr>
        <w:rPr>
          <w:rFonts w:cstheme="minorHAnsi"/>
          <w:sz w:val="24"/>
          <w:szCs w:val="24"/>
        </w:rPr>
      </w:pPr>
      <w:r w:rsidRPr="00042A9C">
        <w:rPr>
          <w:rFonts w:cstheme="minorHAnsi"/>
          <w:sz w:val="24"/>
          <w:szCs w:val="24"/>
        </w:rPr>
        <w:t>Assessment literacy is vitally for the empowerment of students and the development of a confident, competent workforce (Price et al, 2012). Elkington (2020) identifies assessment literacy as a key tenet of transforming assessment to enhance student success. The QAA emphasise the importance of fostering assessment literacy as vital to developing the confident, independent learners with academic integrity (QAA, 2018).</w:t>
      </w:r>
    </w:p>
    <w:p w14:paraId="61538C8E" w14:textId="77777777" w:rsidR="0022552F" w:rsidRPr="00B30336" w:rsidRDefault="0022552F" w:rsidP="0022552F">
      <w:pPr>
        <w:rPr>
          <w:rFonts w:cstheme="minorHAnsi"/>
          <w:sz w:val="24"/>
          <w:szCs w:val="24"/>
        </w:rPr>
      </w:pPr>
      <w:r>
        <w:rPr>
          <w:rFonts w:cstheme="minorHAnsi"/>
          <w:sz w:val="24"/>
          <w:szCs w:val="24"/>
        </w:rPr>
        <w:t>Five</w:t>
      </w:r>
      <w:r w:rsidRPr="00B30336">
        <w:rPr>
          <w:rFonts w:cstheme="minorHAnsi"/>
          <w:sz w:val="24"/>
          <w:szCs w:val="24"/>
        </w:rPr>
        <w:t xml:space="preserve"> initiatives aimed at improving assessment literacy for all learners </w:t>
      </w:r>
      <w:proofErr w:type="gramStart"/>
      <w:r w:rsidRPr="00B30336">
        <w:rPr>
          <w:rFonts w:cstheme="minorHAnsi"/>
          <w:sz w:val="24"/>
          <w:szCs w:val="24"/>
        </w:rPr>
        <w:t>w</w:t>
      </w:r>
      <w:r>
        <w:rPr>
          <w:rFonts w:cstheme="minorHAnsi"/>
          <w:sz w:val="24"/>
          <w:szCs w:val="24"/>
        </w:rPr>
        <w:t>ere implemented</w:t>
      </w:r>
      <w:proofErr w:type="gramEnd"/>
      <w:r w:rsidRPr="00B30336">
        <w:rPr>
          <w:rFonts w:cstheme="minorHAnsi"/>
          <w:sz w:val="24"/>
          <w:szCs w:val="24"/>
        </w:rPr>
        <w:t>:</w:t>
      </w:r>
    </w:p>
    <w:p w14:paraId="5D4403A4" w14:textId="77777777" w:rsidR="0022552F" w:rsidRDefault="0022552F" w:rsidP="0022552F">
      <w:pPr>
        <w:pStyle w:val="ListParagraph"/>
        <w:numPr>
          <w:ilvl w:val="0"/>
          <w:numId w:val="1"/>
        </w:numPr>
        <w:rPr>
          <w:rFonts w:cstheme="minorHAnsi"/>
          <w:sz w:val="24"/>
          <w:szCs w:val="24"/>
        </w:rPr>
      </w:pPr>
      <w:r w:rsidRPr="00B30336">
        <w:rPr>
          <w:rFonts w:cstheme="minorHAnsi"/>
          <w:sz w:val="24"/>
          <w:szCs w:val="24"/>
        </w:rPr>
        <w:t>Development of a standardised assessment brief, mirroring the format employed on BTEC course, to enhance accessibility.</w:t>
      </w:r>
    </w:p>
    <w:p w14:paraId="154CA58A" w14:textId="77777777" w:rsidR="0022552F" w:rsidRPr="00B30336" w:rsidRDefault="0022552F" w:rsidP="0022552F">
      <w:pPr>
        <w:pStyle w:val="ListParagraph"/>
        <w:numPr>
          <w:ilvl w:val="0"/>
          <w:numId w:val="1"/>
        </w:numPr>
        <w:rPr>
          <w:rFonts w:cstheme="minorHAnsi"/>
          <w:sz w:val="24"/>
          <w:szCs w:val="24"/>
        </w:rPr>
      </w:pPr>
      <w:r>
        <w:rPr>
          <w:rFonts w:cstheme="minorHAnsi"/>
          <w:sz w:val="24"/>
          <w:szCs w:val="24"/>
        </w:rPr>
        <w:t xml:space="preserve">The use of discussion board for assessment questions as a method for improving equity </w:t>
      </w:r>
      <w:r w:rsidRPr="00077CD6">
        <w:rPr>
          <w:rFonts w:cstheme="minorHAnsi"/>
          <w:sz w:val="24"/>
          <w:szCs w:val="24"/>
        </w:rPr>
        <w:t>in the sharing of assessment information.</w:t>
      </w:r>
    </w:p>
    <w:p w14:paraId="38775562" w14:textId="77777777" w:rsidR="0022552F" w:rsidRPr="00B30336" w:rsidRDefault="0022552F" w:rsidP="0022552F">
      <w:pPr>
        <w:pStyle w:val="ListParagraph"/>
        <w:numPr>
          <w:ilvl w:val="0"/>
          <w:numId w:val="1"/>
        </w:numPr>
        <w:rPr>
          <w:rFonts w:cstheme="minorHAnsi"/>
          <w:sz w:val="24"/>
          <w:szCs w:val="24"/>
        </w:rPr>
      </w:pPr>
      <w:r w:rsidRPr="00B30336">
        <w:rPr>
          <w:rFonts w:cstheme="minorHAnsi"/>
          <w:sz w:val="24"/>
          <w:szCs w:val="24"/>
        </w:rPr>
        <w:t>Mapping Assessment methods and strategies to ensure constructive alignment and scaffolding of key skills for assessment success.</w:t>
      </w:r>
    </w:p>
    <w:p w14:paraId="5513578F" w14:textId="77777777" w:rsidR="0022552F" w:rsidRPr="00B30336" w:rsidRDefault="0022552F" w:rsidP="0022552F">
      <w:pPr>
        <w:pStyle w:val="ListParagraph"/>
        <w:numPr>
          <w:ilvl w:val="0"/>
          <w:numId w:val="1"/>
        </w:numPr>
        <w:rPr>
          <w:rFonts w:cstheme="minorHAnsi"/>
          <w:sz w:val="24"/>
          <w:szCs w:val="24"/>
        </w:rPr>
      </w:pPr>
      <w:r w:rsidRPr="00B30336">
        <w:rPr>
          <w:rFonts w:cstheme="minorHAnsi"/>
          <w:sz w:val="24"/>
          <w:szCs w:val="24"/>
        </w:rPr>
        <w:t>Mentoring support for module leaders to ensure alignment of learning and assessment outcomes</w:t>
      </w:r>
      <w:r>
        <w:rPr>
          <w:rFonts w:cstheme="minorHAnsi"/>
          <w:sz w:val="24"/>
          <w:szCs w:val="24"/>
        </w:rPr>
        <w:t>.</w:t>
      </w:r>
    </w:p>
    <w:p w14:paraId="6212E350" w14:textId="77777777" w:rsidR="0022552F" w:rsidRDefault="0022552F" w:rsidP="0022552F">
      <w:pPr>
        <w:pStyle w:val="ListParagraph"/>
        <w:numPr>
          <w:ilvl w:val="0"/>
          <w:numId w:val="1"/>
        </w:numPr>
        <w:rPr>
          <w:rFonts w:cstheme="minorHAnsi"/>
          <w:sz w:val="24"/>
          <w:szCs w:val="24"/>
        </w:rPr>
      </w:pPr>
      <w:r w:rsidRPr="00B30336">
        <w:rPr>
          <w:rFonts w:cstheme="minorHAnsi"/>
          <w:sz w:val="24"/>
          <w:szCs w:val="24"/>
        </w:rPr>
        <w:t>Workshops at each level of the course to explicitly develop assessment literacy (building on the work of Smith et al. (2013).</w:t>
      </w:r>
    </w:p>
    <w:p w14:paraId="09A75027" w14:textId="77777777" w:rsidR="0022552F" w:rsidRPr="00B30336" w:rsidRDefault="0022552F" w:rsidP="0022552F">
      <w:pPr>
        <w:rPr>
          <w:rFonts w:cstheme="minorHAnsi"/>
          <w:sz w:val="24"/>
          <w:szCs w:val="24"/>
        </w:rPr>
      </w:pPr>
    </w:p>
    <w:p w14:paraId="72BAA4B5" w14:textId="77777777" w:rsidR="0022552F" w:rsidRPr="00B30336" w:rsidRDefault="0022552F" w:rsidP="0022552F">
      <w:pPr>
        <w:spacing w:line="360" w:lineRule="auto"/>
        <w:ind w:left="567" w:hanging="567"/>
        <w:rPr>
          <w:rFonts w:cstheme="minorHAnsi"/>
          <w:b/>
          <w:bCs/>
          <w:sz w:val="21"/>
          <w:szCs w:val="21"/>
        </w:rPr>
      </w:pPr>
      <w:r w:rsidRPr="00B30336">
        <w:rPr>
          <w:rFonts w:cstheme="minorHAnsi"/>
          <w:b/>
          <w:bCs/>
          <w:sz w:val="21"/>
          <w:szCs w:val="21"/>
        </w:rPr>
        <w:t>Interesting literature related to the project:</w:t>
      </w:r>
    </w:p>
    <w:p w14:paraId="7D4DAAF6" w14:textId="77777777" w:rsidR="0022552F" w:rsidRPr="00B30336" w:rsidRDefault="0022552F" w:rsidP="0022552F">
      <w:pPr>
        <w:spacing w:line="360" w:lineRule="auto"/>
        <w:ind w:left="567" w:hanging="567"/>
        <w:rPr>
          <w:rFonts w:cstheme="minorHAnsi"/>
          <w:sz w:val="21"/>
          <w:szCs w:val="21"/>
        </w:rPr>
      </w:pPr>
      <w:r w:rsidRPr="00B30336">
        <w:rPr>
          <w:rFonts w:cstheme="minorHAnsi"/>
          <w:sz w:val="21"/>
          <w:szCs w:val="21"/>
        </w:rPr>
        <w:t xml:space="preserve">Elkington, S. (2020) </w:t>
      </w:r>
      <w:r w:rsidRPr="00B30336">
        <w:rPr>
          <w:rFonts w:cstheme="minorHAnsi"/>
          <w:i/>
          <w:iCs/>
          <w:sz w:val="21"/>
          <w:szCs w:val="21"/>
        </w:rPr>
        <w:t>Essential frameworks for enhancing student success: Transforming Assessment</w:t>
      </w:r>
      <w:r w:rsidRPr="00B30336">
        <w:rPr>
          <w:rFonts w:cstheme="minorHAnsi"/>
          <w:sz w:val="21"/>
          <w:szCs w:val="21"/>
        </w:rPr>
        <w:t xml:space="preserve">. Advance HE. Retrieved from: </w:t>
      </w:r>
      <w:hyperlink r:id="rId6" w:history="1">
        <w:r w:rsidRPr="00B30336">
          <w:rPr>
            <w:rStyle w:val="Hyperlink"/>
            <w:rFonts w:cstheme="minorHAnsi"/>
            <w:color w:val="auto"/>
            <w:sz w:val="21"/>
            <w:szCs w:val="21"/>
          </w:rPr>
          <w:t>https://www.advance-he.ac.uk/knowledge-hub/essential-frameworks-enhancing-student-success-transforming-assessment</w:t>
        </w:r>
      </w:hyperlink>
    </w:p>
    <w:p w14:paraId="27A49F46" w14:textId="77777777" w:rsidR="0022552F" w:rsidRPr="00B30336" w:rsidRDefault="0022552F" w:rsidP="0022552F">
      <w:pPr>
        <w:pStyle w:val="Body"/>
        <w:spacing w:line="360" w:lineRule="auto"/>
        <w:ind w:left="567" w:hanging="567"/>
        <w:rPr>
          <w:rFonts w:asciiTheme="minorHAnsi" w:hAnsiTheme="minorHAnsi" w:cstheme="minorHAnsi"/>
          <w:color w:val="auto"/>
          <w:sz w:val="21"/>
          <w:szCs w:val="21"/>
        </w:rPr>
      </w:pPr>
      <w:r w:rsidRPr="00B30336">
        <w:rPr>
          <w:rFonts w:asciiTheme="minorHAnsi" w:hAnsiTheme="minorHAnsi" w:cstheme="minorHAnsi"/>
          <w:color w:val="auto"/>
          <w:sz w:val="21"/>
          <w:szCs w:val="21"/>
        </w:rPr>
        <w:t xml:space="preserve">Price, M., </w:t>
      </w:r>
      <w:proofErr w:type="spellStart"/>
      <w:r w:rsidRPr="00B30336">
        <w:rPr>
          <w:rFonts w:asciiTheme="minorHAnsi" w:hAnsiTheme="minorHAnsi" w:cstheme="minorHAnsi"/>
          <w:color w:val="auto"/>
          <w:sz w:val="21"/>
          <w:szCs w:val="21"/>
        </w:rPr>
        <w:t>Rust</w:t>
      </w:r>
      <w:proofErr w:type="spellEnd"/>
      <w:r w:rsidRPr="00B30336">
        <w:rPr>
          <w:rFonts w:asciiTheme="minorHAnsi" w:hAnsiTheme="minorHAnsi" w:cstheme="minorHAnsi"/>
          <w:color w:val="auto"/>
          <w:sz w:val="21"/>
          <w:szCs w:val="21"/>
        </w:rPr>
        <w:t xml:space="preserve">, C., </w:t>
      </w:r>
      <w:proofErr w:type="spellStart"/>
      <w:r w:rsidRPr="00B30336">
        <w:rPr>
          <w:rFonts w:asciiTheme="minorHAnsi" w:hAnsiTheme="minorHAnsi" w:cstheme="minorHAnsi"/>
          <w:color w:val="auto"/>
          <w:sz w:val="21"/>
          <w:szCs w:val="21"/>
        </w:rPr>
        <w:t>O’Donovan</w:t>
      </w:r>
      <w:proofErr w:type="spellEnd"/>
      <w:r w:rsidRPr="00B30336">
        <w:rPr>
          <w:rFonts w:asciiTheme="minorHAnsi" w:hAnsiTheme="minorHAnsi" w:cstheme="minorHAnsi"/>
          <w:color w:val="auto"/>
          <w:sz w:val="21"/>
          <w:szCs w:val="21"/>
        </w:rPr>
        <w:t xml:space="preserve">, B., Handley, K. &amp; Bryant, R. (2012). </w:t>
      </w:r>
      <w:proofErr w:type="spellStart"/>
      <w:r w:rsidRPr="00B30336">
        <w:rPr>
          <w:rFonts w:asciiTheme="minorHAnsi" w:hAnsiTheme="minorHAnsi" w:cstheme="minorHAnsi"/>
          <w:i/>
          <w:iCs/>
          <w:color w:val="auto"/>
          <w:sz w:val="21"/>
          <w:szCs w:val="21"/>
        </w:rPr>
        <w:t>Assessment</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literacy</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the</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foundation</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of</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improving</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student</w:t>
      </w:r>
      <w:proofErr w:type="spellEnd"/>
      <w:r w:rsidRPr="00B30336">
        <w:rPr>
          <w:rFonts w:asciiTheme="minorHAnsi" w:hAnsiTheme="minorHAnsi" w:cstheme="minorHAnsi"/>
          <w:i/>
          <w:iCs/>
          <w:color w:val="auto"/>
          <w:sz w:val="21"/>
          <w:szCs w:val="21"/>
        </w:rPr>
        <w:t xml:space="preserve"> </w:t>
      </w:r>
      <w:proofErr w:type="spellStart"/>
      <w:r w:rsidRPr="00B30336">
        <w:rPr>
          <w:rFonts w:asciiTheme="minorHAnsi" w:hAnsiTheme="minorHAnsi" w:cstheme="minorHAnsi"/>
          <w:i/>
          <w:iCs/>
          <w:color w:val="auto"/>
          <w:sz w:val="21"/>
          <w:szCs w:val="21"/>
        </w:rPr>
        <w:t>Learning</w:t>
      </w:r>
      <w:proofErr w:type="spellEnd"/>
      <w:r w:rsidRPr="00B30336">
        <w:rPr>
          <w:rFonts w:asciiTheme="minorHAnsi" w:hAnsiTheme="minorHAnsi" w:cstheme="minorHAnsi"/>
          <w:color w:val="auto"/>
          <w:sz w:val="21"/>
          <w:szCs w:val="21"/>
        </w:rPr>
        <w:t xml:space="preserve">. Oxford, </w:t>
      </w:r>
      <w:proofErr w:type="spellStart"/>
      <w:r w:rsidRPr="00B30336">
        <w:rPr>
          <w:rFonts w:asciiTheme="minorHAnsi" w:hAnsiTheme="minorHAnsi" w:cstheme="minorHAnsi"/>
          <w:color w:val="auto"/>
          <w:sz w:val="21"/>
          <w:szCs w:val="21"/>
        </w:rPr>
        <w:t>The</w:t>
      </w:r>
      <w:proofErr w:type="spellEnd"/>
      <w:r w:rsidRPr="00B30336">
        <w:rPr>
          <w:rFonts w:asciiTheme="minorHAnsi" w:hAnsiTheme="minorHAnsi" w:cstheme="minorHAnsi"/>
          <w:color w:val="auto"/>
          <w:sz w:val="21"/>
          <w:szCs w:val="21"/>
        </w:rPr>
        <w:t xml:space="preserve"> Oxford Centre </w:t>
      </w:r>
      <w:proofErr w:type="spellStart"/>
      <w:r w:rsidRPr="00B30336">
        <w:rPr>
          <w:rFonts w:asciiTheme="minorHAnsi" w:hAnsiTheme="minorHAnsi" w:cstheme="minorHAnsi"/>
          <w:color w:val="auto"/>
          <w:sz w:val="21"/>
          <w:szCs w:val="21"/>
        </w:rPr>
        <w:t>for</w:t>
      </w:r>
      <w:proofErr w:type="spellEnd"/>
      <w:r w:rsidRPr="00B30336">
        <w:rPr>
          <w:rFonts w:asciiTheme="minorHAnsi" w:hAnsiTheme="minorHAnsi" w:cstheme="minorHAnsi"/>
          <w:color w:val="auto"/>
          <w:sz w:val="21"/>
          <w:szCs w:val="21"/>
        </w:rPr>
        <w:t xml:space="preserve"> Staff and </w:t>
      </w:r>
      <w:proofErr w:type="spellStart"/>
      <w:r w:rsidRPr="00B30336">
        <w:rPr>
          <w:rFonts w:asciiTheme="minorHAnsi" w:hAnsiTheme="minorHAnsi" w:cstheme="minorHAnsi"/>
          <w:color w:val="auto"/>
          <w:sz w:val="21"/>
          <w:szCs w:val="21"/>
        </w:rPr>
        <w:t>Learning</w:t>
      </w:r>
      <w:proofErr w:type="spellEnd"/>
      <w:r w:rsidRPr="00B30336">
        <w:rPr>
          <w:rFonts w:asciiTheme="minorHAnsi" w:hAnsiTheme="minorHAnsi" w:cstheme="minorHAnsi"/>
          <w:color w:val="auto"/>
          <w:sz w:val="21"/>
          <w:szCs w:val="21"/>
        </w:rPr>
        <w:t xml:space="preserve"> </w:t>
      </w:r>
      <w:proofErr w:type="spellStart"/>
      <w:r w:rsidRPr="00B30336">
        <w:rPr>
          <w:rFonts w:asciiTheme="minorHAnsi" w:hAnsiTheme="minorHAnsi" w:cstheme="minorHAnsi"/>
          <w:color w:val="auto"/>
          <w:sz w:val="21"/>
          <w:szCs w:val="21"/>
        </w:rPr>
        <w:t>Development</w:t>
      </w:r>
      <w:proofErr w:type="spellEnd"/>
      <w:r w:rsidRPr="00B30336">
        <w:rPr>
          <w:rFonts w:asciiTheme="minorHAnsi" w:hAnsiTheme="minorHAnsi" w:cstheme="minorHAnsi"/>
          <w:color w:val="auto"/>
          <w:sz w:val="21"/>
          <w:szCs w:val="21"/>
        </w:rPr>
        <w:t xml:space="preserve">. </w:t>
      </w:r>
    </w:p>
    <w:p w14:paraId="717EF64D" w14:textId="77777777" w:rsidR="0022552F" w:rsidRPr="00B30336" w:rsidRDefault="0022552F" w:rsidP="0022552F">
      <w:pPr>
        <w:spacing w:line="360" w:lineRule="auto"/>
        <w:ind w:left="567" w:hanging="567"/>
        <w:rPr>
          <w:rFonts w:cstheme="minorHAnsi"/>
          <w:sz w:val="21"/>
          <w:szCs w:val="21"/>
          <w:shd w:val="clear" w:color="auto" w:fill="FFFFFF"/>
        </w:rPr>
      </w:pPr>
      <w:r w:rsidRPr="00B30336">
        <w:rPr>
          <w:rFonts w:cstheme="minorHAnsi"/>
          <w:sz w:val="21"/>
          <w:szCs w:val="21"/>
          <w:shd w:val="clear" w:color="auto" w:fill="FFFFFF"/>
        </w:rPr>
        <w:t xml:space="preserve">Smith, C.D. et al., 2013. </w:t>
      </w:r>
      <w:r w:rsidRPr="00B30336">
        <w:rPr>
          <w:rFonts w:cstheme="minorHAnsi"/>
          <w:i/>
          <w:iCs/>
          <w:sz w:val="21"/>
          <w:szCs w:val="21"/>
          <w:shd w:val="clear" w:color="auto" w:fill="FFFFFF"/>
        </w:rPr>
        <w:t>Assessment literacy and student learning: the case for explicitly developing students ‘assessment literacy’</w:t>
      </w:r>
      <w:r w:rsidRPr="00B30336">
        <w:rPr>
          <w:rFonts w:cstheme="minorHAnsi"/>
          <w:sz w:val="21"/>
          <w:szCs w:val="21"/>
          <w:shd w:val="clear" w:color="auto" w:fill="FFFFFF"/>
        </w:rPr>
        <w:t>. Assessment and evaluation in higher education, 38(1), pp.44–60. 10.1080/02602938.2011.598636.</w:t>
      </w:r>
    </w:p>
    <w:p w14:paraId="2EBBD8D1" w14:textId="77777777" w:rsidR="0022552F" w:rsidRPr="00B30336" w:rsidRDefault="0022552F" w:rsidP="0022552F">
      <w:pPr>
        <w:spacing w:line="360" w:lineRule="auto"/>
        <w:ind w:left="567" w:hanging="567"/>
        <w:rPr>
          <w:rFonts w:cstheme="minorHAnsi"/>
          <w:sz w:val="21"/>
          <w:szCs w:val="21"/>
        </w:rPr>
      </w:pPr>
      <w:r w:rsidRPr="00B30336">
        <w:rPr>
          <w:rFonts w:cstheme="minorHAnsi"/>
          <w:sz w:val="21"/>
          <w:szCs w:val="21"/>
        </w:rPr>
        <w:t xml:space="preserve">The Quality Assurance Agency for Higher Education. (2018) </w:t>
      </w:r>
      <w:r w:rsidRPr="00B30336">
        <w:rPr>
          <w:rFonts w:cstheme="minorHAnsi"/>
          <w:i/>
          <w:iCs/>
          <w:sz w:val="21"/>
          <w:szCs w:val="21"/>
        </w:rPr>
        <w:t xml:space="preserve">UK quality code, </w:t>
      </w:r>
      <w:proofErr w:type="gramStart"/>
      <w:r w:rsidRPr="00B30336">
        <w:rPr>
          <w:rFonts w:cstheme="minorHAnsi"/>
          <w:i/>
          <w:iCs/>
          <w:sz w:val="21"/>
          <w:szCs w:val="21"/>
        </w:rPr>
        <w:t>advice</w:t>
      </w:r>
      <w:proofErr w:type="gramEnd"/>
      <w:r w:rsidRPr="00B30336">
        <w:rPr>
          <w:rFonts w:cstheme="minorHAnsi"/>
          <w:i/>
          <w:iCs/>
          <w:sz w:val="21"/>
          <w:szCs w:val="21"/>
        </w:rPr>
        <w:t xml:space="preserve"> and guidance: assessment.</w:t>
      </w:r>
      <w:r w:rsidRPr="00B30336">
        <w:rPr>
          <w:rFonts w:cstheme="minorHAnsi"/>
          <w:sz w:val="21"/>
          <w:szCs w:val="21"/>
        </w:rPr>
        <w:t xml:space="preserve"> Available at:  </w:t>
      </w:r>
      <w:hyperlink r:id="rId7" w:history="1">
        <w:r w:rsidRPr="00B30336">
          <w:rPr>
            <w:rStyle w:val="Hyperlink"/>
            <w:rFonts w:cstheme="minorHAnsi"/>
            <w:color w:val="auto"/>
            <w:sz w:val="21"/>
            <w:szCs w:val="21"/>
          </w:rPr>
          <w:t>https://www.qaa.ac.uk//en/quality-code/advice-and-guidance/assessment</w:t>
        </w:r>
      </w:hyperlink>
      <w:r w:rsidRPr="00B30336">
        <w:rPr>
          <w:rFonts w:cstheme="minorHAnsi"/>
          <w:sz w:val="21"/>
          <w:szCs w:val="21"/>
        </w:rPr>
        <w:t>. Accessed: 16/3/22.</w:t>
      </w:r>
    </w:p>
    <w:p w14:paraId="777992AE" w14:textId="77777777" w:rsidR="0022552F" w:rsidRPr="00B30336" w:rsidRDefault="0022552F" w:rsidP="0022552F">
      <w:pPr>
        <w:jc w:val="center"/>
        <w:rPr>
          <w:rFonts w:cstheme="minorHAnsi"/>
          <w:b/>
          <w:bCs/>
          <w:i/>
          <w:iCs/>
          <w:sz w:val="24"/>
          <w:szCs w:val="24"/>
        </w:rPr>
      </w:pPr>
      <w:r>
        <w:rPr>
          <w:rFonts w:cstheme="minorHAnsi"/>
          <w:sz w:val="24"/>
          <w:szCs w:val="24"/>
        </w:rPr>
        <w:br w:type="page"/>
      </w:r>
      <w:bookmarkStart w:id="0" w:name="_Toc98948107"/>
      <w:r w:rsidRPr="00B30336">
        <w:rPr>
          <w:b/>
          <w:bCs/>
          <w:i/>
          <w:iCs/>
        </w:rPr>
        <w:lastRenderedPageBreak/>
        <w:t>New standardised assessment brief template</w:t>
      </w:r>
      <w:bookmarkEnd w:id="0"/>
    </w:p>
    <w:p w14:paraId="0DFD055D" w14:textId="77777777" w:rsidR="0022552F" w:rsidRDefault="0022552F" w:rsidP="0022552F"/>
    <w:tbl>
      <w:tblPr>
        <w:tblStyle w:val="TableGrid"/>
        <w:tblW w:w="0" w:type="auto"/>
        <w:tblLook w:val="04A0" w:firstRow="1" w:lastRow="0" w:firstColumn="1" w:lastColumn="0" w:noHBand="0" w:noVBand="1"/>
      </w:tblPr>
      <w:tblGrid>
        <w:gridCol w:w="4508"/>
        <w:gridCol w:w="4508"/>
      </w:tblGrid>
      <w:tr w:rsidR="0022552F" w:rsidRPr="002D4865" w14:paraId="6E18DFF0" w14:textId="77777777" w:rsidTr="00B30336">
        <w:tc>
          <w:tcPr>
            <w:tcW w:w="9016" w:type="dxa"/>
            <w:gridSpan w:val="2"/>
          </w:tcPr>
          <w:p w14:paraId="3EC386D8" w14:textId="77777777" w:rsidR="0022552F" w:rsidRPr="002D4865" w:rsidRDefault="0022552F" w:rsidP="00B30336">
            <w:pPr>
              <w:jc w:val="center"/>
              <w:rPr>
                <w:rFonts w:cstheme="minorHAnsi"/>
                <w:b/>
              </w:rPr>
            </w:pPr>
            <w:r w:rsidRPr="002D4865">
              <w:rPr>
                <w:rFonts w:cstheme="minorHAnsi"/>
                <w:b/>
              </w:rPr>
              <w:t>Module Assignment Brief</w:t>
            </w:r>
          </w:p>
        </w:tc>
      </w:tr>
      <w:tr w:rsidR="0022552F" w:rsidRPr="002D4865" w14:paraId="5F60B1C7" w14:textId="77777777" w:rsidTr="00B30336">
        <w:tc>
          <w:tcPr>
            <w:tcW w:w="4508" w:type="dxa"/>
          </w:tcPr>
          <w:p w14:paraId="4B53E15D" w14:textId="77777777" w:rsidR="0022552F" w:rsidRPr="002D4865" w:rsidRDefault="0022552F" w:rsidP="00B30336">
            <w:pPr>
              <w:rPr>
                <w:rFonts w:cstheme="minorHAnsi"/>
                <w:b/>
              </w:rPr>
            </w:pPr>
            <w:r w:rsidRPr="002D4865">
              <w:rPr>
                <w:rFonts w:cstheme="minorHAnsi"/>
                <w:b/>
              </w:rPr>
              <w:t>Module Title:</w:t>
            </w:r>
          </w:p>
        </w:tc>
        <w:tc>
          <w:tcPr>
            <w:tcW w:w="4508" w:type="dxa"/>
          </w:tcPr>
          <w:p w14:paraId="6BF98B44" w14:textId="77777777" w:rsidR="0022552F" w:rsidRPr="002D4865" w:rsidRDefault="0022552F" w:rsidP="00B30336">
            <w:pPr>
              <w:rPr>
                <w:rFonts w:cstheme="minorHAnsi"/>
              </w:rPr>
            </w:pPr>
          </w:p>
        </w:tc>
      </w:tr>
      <w:tr w:rsidR="0022552F" w:rsidRPr="002D4865" w14:paraId="6B29C033" w14:textId="77777777" w:rsidTr="00B30336">
        <w:tc>
          <w:tcPr>
            <w:tcW w:w="4508" w:type="dxa"/>
          </w:tcPr>
          <w:p w14:paraId="1B9105B9" w14:textId="77777777" w:rsidR="0022552F" w:rsidRPr="002D4865" w:rsidRDefault="0022552F" w:rsidP="00B30336">
            <w:pPr>
              <w:rPr>
                <w:rFonts w:cstheme="minorHAnsi"/>
                <w:b/>
              </w:rPr>
            </w:pPr>
            <w:r w:rsidRPr="002D4865">
              <w:rPr>
                <w:rFonts w:cstheme="minorHAnsi"/>
                <w:b/>
              </w:rPr>
              <w:t>Module Code:</w:t>
            </w:r>
          </w:p>
        </w:tc>
        <w:tc>
          <w:tcPr>
            <w:tcW w:w="4508" w:type="dxa"/>
          </w:tcPr>
          <w:p w14:paraId="2595494C" w14:textId="77777777" w:rsidR="0022552F" w:rsidRPr="002D4865" w:rsidRDefault="0022552F" w:rsidP="00B30336">
            <w:pPr>
              <w:rPr>
                <w:rFonts w:cstheme="minorHAnsi"/>
              </w:rPr>
            </w:pPr>
          </w:p>
        </w:tc>
      </w:tr>
      <w:tr w:rsidR="0022552F" w:rsidRPr="002D4865" w14:paraId="53BF79C3" w14:textId="77777777" w:rsidTr="00B30336">
        <w:tc>
          <w:tcPr>
            <w:tcW w:w="4508" w:type="dxa"/>
          </w:tcPr>
          <w:p w14:paraId="3BBF4B54" w14:textId="77777777" w:rsidR="0022552F" w:rsidRPr="002D4865" w:rsidRDefault="0022552F" w:rsidP="00B30336">
            <w:pPr>
              <w:rPr>
                <w:rFonts w:cstheme="minorHAnsi"/>
                <w:b/>
              </w:rPr>
            </w:pPr>
            <w:r w:rsidRPr="002D4865">
              <w:rPr>
                <w:rFonts w:cstheme="minorHAnsi"/>
                <w:b/>
              </w:rPr>
              <w:t>Module Leader:</w:t>
            </w:r>
          </w:p>
        </w:tc>
        <w:tc>
          <w:tcPr>
            <w:tcW w:w="4508" w:type="dxa"/>
          </w:tcPr>
          <w:p w14:paraId="34B9B773" w14:textId="77777777" w:rsidR="0022552F" w:rsidRPr="002D4865" w:rsidRDefault="0022552F" w:rsidP="00B30336">
            <w:pPr>
              <w:rPr>
                <w:rFonts w:cstheme="minorHAnsi"/>
              </w:rPr>
            </w:pPr>
          </w:p>
        </w:tc>
      </w:tr>
      <w:tr w:rsidR="0022552F" w:rsidRPr="002D4865" w14:paraId="4E34F0D7" w14:textId="77777777" w:rsidTr="00B30336">
        <w:tc>
          <w:tcPr>
            <w:tcW w:w="9016" w:type="dxa"/>
            <w:gridSpan w:val="2"/>
          </w:tcPr>
          <w:p w14:paraId="73AF1683" w14:textId="77777777" w:rsidR="0022552F" w:rsidRPr="002D4865" w:rsidRDefault="0022552F" w:rsidP="00B30336">
            <w:pPr>
              <w:jc w:val="center"/>
              <w:rPr>
                <w:rFonts w:cstheme="minorHAnsi"/>
                <w:b/>
                <w:bCs/>
              </w:rPr>
            </w:pPr>
            <w:r>
              <w:rPr>
                <w:rFonts w:cstheme="minorHAnsi"/>
                <w:b/>
                <w:bCs/>
              </w:rPr>
              <w:t xml:space="preserve">Formative / </w:t>
            </w:r>
            <w:r w:rsidRPr="002D4865">
              <w:rPr>
                <w:rFonts w:cstheme="minorHAnsi"/>
                <w:b/>
                <w:bCs/>
              </w:rPr>
              <w:t xml:space="preserve">Summative assessment </w:t>
            </w:r>
            <w:r>
              <w:rPr>
                <w:rFonts w:cstheme="minorHAnsi"/>
                <w:b/>
                <w:bCs/>
              </w:rPr>
              <w:t xml:space="preserve">1:              </w:t>
            </w:r>
          </w:p>
          <w:p w14:paraId="1EFF9647" w14:textId="77777777" w:rsidR="0022552F" w:rsidRPr="002D4865" w:rsidRDefault="0022552F" w:rsidP="00B30336">
            <w:pPr>
              <w:jc w:val="center"/>
              <w:rPr>
                <w:rFonts w:cstheme="minorHAnsi"/>
              </w:rPr>
            </w:pPr>
            <w:r w:rsidRPr="002D4865">
              <w:rPr>
                <w:rFonts w:cstheme="minorHAnsi"/>
              </w:rPr>
              <w:t>(</w:t>
            </w:r>
            <w:r>
              <w:rPr>
                <w:rFonts w:cstheme="minorHAnsi"/>
              </w:rPr>
              <w:t xml:space="preserve">**** % </w:t>
            </w:r>
            <w:r w:rsidRPr="002D4865">
              <w:rPr>
                <w:rFonts w:cstheme="minorHAnsi"/>
              </w:rPr>
              <w:t>of Module Grade)</w:t>
            </w:r>
          </w:p>
        </w:tc>
      </w:tr>
      <w:tr w:rsidR="0022552F" w:rsidRPr="002D4865" w14:paraId="1DCA3F75" w14:textId="77777777" w:rsidTr="00B30336">
        <w:tc>
          <w:tcPr>
            <w:tcW w:w="9016" w:type="dxa"/>
            <w:gridSpan w:val="2"/>
          </w:tcPr>
          <w:p w14:paraId="60085A25" w14:textId="77777777" w:rsidR="0022552F" w:rsidRDefault="0022552F" w:rsidP="00B30336">
            <w:pPr>
              <w:jc w:val="both"/>
              <w:rPr>
                <w:rFonts w:cstheme="minorHAnsi"/>
                <w:b/>
                <w:bCs/>
              </w:rPr>
            </w:pPr>
          </w:p>
          <w:p w14:paraId="3B7728D0" w14:textId="77777777" w:rsidR="0022552F" w:rsidRPr="00A469B3" w:rsidRDefault="0022552F" w:rsidP="00B30336">
            <w:pPr>
              <w:jc w:val="center"/>
              <w:rPr>
                <w:rFonts w:cstheme="minorHAnsi"/>
                <w:b/>
                <w:bCs/>
                <w:i/>
                <w:iCs/>
              </w:rPr>
            </w:pPr>
            <w:r w:rsidRPr="00A469B3">
              <w:rPr>
                <w:rFonts w:cstheme="minorHAnsi"/>
                <w:b/>
                <w:bCs/>
                <w:i/>
                <w:iCs/>
              </w:rPr>
              <w:t xml:space="preserve">*** </w:t>
            </w:r>
            <w:r>
              <w:rPr>
                <w:rFonts w:cstheme="minorHAnsi"/>
                <w:b/>
                <w:bCs/>
                <w:i/>
                <w:iCs/>
              </w:rPr>
              <w:t>Brief, simple d</w:t>
            </w:r>
            <w:r w:rsidRPr="00A469B3">
              <w:rPr>
                <w:rFonts w:cstheme="minorHAnsi"/>
                <w:b/>
                <w:bCs/>
                <w:i/>
                <w:iCs/>
              </w:rPr>
              <w:t>escription of the Task****</w:t>
            </w:r>
          </w:p>
          <w:p w14:paraId="65659890" w14:textId="77777777" w:rsidR="0022552F" w:rsidRDefault="0022552F" w:rsidP="00B30336">
            <w:pPr>
              <w:jc w:val="both"/>
              <w:rPr>
                <w:rFonts w:cstheme="minorHAnsi"/>
                <w:b/>
                <w:bCs/>
              </w:rPr>
            </w:pPr>
          </w:p>
          <w:p w14:paraId="059AC6D3" w14:textId="77777777" w:rsidR="0022552F" w:rsidRPr="007A6B1F" w:rsidRDefault="0022552F" w:rsidP="00B30336">
            <w:pPr>
              <w:jc w:val="right"/>
              <w:rPr>
                <w:rFonts w:cstheme="minorHAnsi"/>
                <w:b/>
                <w:bCs/>
              </w:rPr>
            </w:pPr>
            <w:r w:rsidRPr="002D4865">
              <w:rPr>
                <w:rFonts w:cstheme="minorHAnsi"/>
                <w:i/>
                <w:iCs/>
              </w:rPr>
              <w:t xml:space="preserve">Word count: </w:t>
            </w:r>
            <w:r>
              <w:rPr>
                <w:rFonts w:cstheme="minorHAnsi"/>
                <w:i/>
                <w:iCs/>
              </w:rPr>
              <w:t>****</w:t>
            </w:r>
            <w:r w:rsidRPr="002D4865">
              <w:rPr>
                <w:rFonts w:cstheme="minorHAnsi"/>
                <w:i/>
                <w:iCs/>
              </w:rPr>
              <w:t xml:space="preserve"> words (+/- 10%)</w:t>
            </w:r>
          </w:p>
        </w:tc>
      </w:tr>
      <w:tr w:rsidR="0022552F" w:rsidRPr="002D4865" w14:paraId="36BE726C" w14:textId="77777777" w:rsidTr="00B30336">
        <w:tc>
          <w:tcPr>
            <w:tcW w:w="4508" w:type="dxa"/>
          </w:tcPr>
          <w:p w14:paraId="72F124D2" w14:textId="77777777" w:rsidR="0022552F" w:rsidRPr="002D4865" w:rsidRDefault="0022552F" w:rsidP="00B30336">
            <w:pPr>
              <w:rPr>
                <w:rFonts w:cstheme="minorHAnsi"/>
                <w:b/>
              </w:rPr>
            </w:pPr>
            <w:r w:rsidRPr="002D4865">
              <w:rPr>
                <w:rFonts w:cstheme="minorHAnsi"/>
                <w:b/>
              </w:rPr>
              <w:t>Deadline:</w:t>
            </w:r>
          </w:p>
        </w:tc>
        <w:tc>
          <w:tcPr>
            <w:tcW w:w="4508" w:type="dxa"/>
          </w:tcPr>
          <w:p w14:paraId="281E8AC5" w14:textId="77777777" w:rsidR="0022552F" w:rsidRPr="002D4865" w:rsidRDefault="0022552F" w:rsidP="00B30336">
            <w:pPr>
              <w:rPr>
                <w:rFonts w:cstheme="minorHAnsi"/>
              </w:rPr>
            </w:pPr>
          </w:p>
        </w:tc>
      </w:tr>
      <w:tr w:rsidR="0022552F" w:rsidRPr="002D4865" w14:paraId="32185A14" w14:textId="77777777" w:rsidTr="00B30336">
        <w:tc>
          <w:tcPr>
            <w:tcW w:w="4508" w:type="dxa"/>
          </w:tcPr>
          <w:p w14:paraId="43385E52" w14:textId="77777777" w:rsidR="0022552F" w:rsidRPr="002D4865" w:rsidRDefault="0022552F" w:rsidP="00B30336">
            <w:pPr>
              <w:rPr>
                <w:rFonts w:cstheme="minorHAnsi"/>
                <w:b/>
              </w:rPr>
            </w:pPr>
            <w:r w:rsidRPr="002D4865">
              <w:rPr>
                <w:rFonts w:cstheme="minorHAnsi"/>
                <w:b/>
              </w:rPr>
              <w:t>Feedback released:</w:t>
            </w:r>
          </w:p>
        </w:tc>
        <w:tc>
          <w:tcPr>
            <w:tcW w:w="4508" w:type="dxa"/>
          </w:tcPr>
          <w:p w14:paraId="64873565" w14:textId="77777777" w:rsidR="0022552F" w:rsidRPr="002D4865" w:rsidRDefault="0022552F" w:rsidP="00B30336">
            <w:pPr>
              <w:rPr>
                <w:rFonts w:cstheme="minorHAnsi"/>
              </w:rPr>
            </w:pPr>
          </w:p>
        </w:tc>
      </w:tr>
      <w:tr w:rsidR="0022552F" w:rsidRPr="002D4865" w14:paraId="3F8DDD00" w14:textId="77777777" w:rsidTr="00B30336">
        <w:tc>
          <w:tcPr>
            <w:tcW w:w="9016" w:type="dxa"/>
            <w:gridSpan w:val="2"/>
          </w:tcPr>
          <w:p w14:paraId="6B448ACD" w14:textId="77777777" w:rsidR="0022552F" w:rsidRPr="002D4865" w:rsidRDefault="0022552F" w:rsidP="00B30336">
            <w:pPr>
              <w:jc w:val="center"/>
              <w:rPr>
                <w:rFonts w:cstheme="minorHAnsi"/>
                <w:b/>
                <w:bCs/>
              </w:rPr>
            </w:pPr>
            <w:r w:rsidRPr="002D4865">
              <w:rPr>
                <w:rFonts w:cstheme="minorHAnsi"/>
                <w:b/>
                <w:bCs/>
              </w:rPr>
              <w:t>Further Guidance</w:t>
            </w:r>
          </w:p>
        </w:tc>
      </w:tr>
      <w:tr w:rsidR="0022552F" w:rsidRPr="002D4865" w14:paraId="0A366DD0" w14:textId="77777777" w:rsidTr="00B30336">
        <w:tc>
          <w:tcPr>
            <w:tcW w:w="9016" w:type="dxa"/>
            <w:gridSpan w:val="2"/>
          </w:tcPr>
          <w:p w14:paraId="40640CA9" w14:textId="77777777" w:rsidR="0022552F" w:rsidRDefault="0022552F" w:rsidP="00B30336">
            <w:pPr>
              <w:jc w:val="center"/>
              <w:rPr>
                <w:rFonts w:cstheme="minorHAnsi"/>
                <w:b/>
                <w:lang w:val="en"/>
              </w:rPr>
            </w:pPr>
          </w:p>
          <w:p w14:paraId="59468A0E" w14:textId="77777777" w:rsidR="0022552F" w:rsidRPr="00A469B3" w:rsidRDefault="0022552F" w:rsidP="00B30336">
            <w:pPr>
              <w:jc w:val="center"/>
              <w:rPr>
                <w:rFonts w:cstheme="minorHAnsi"/>
                <w:b/>
                <w:i/>
                <w:iCs/>
                <w:lang w:val="en"/>
              </w:rPr>
            </w:pPr>
            <w:r w:rsidRPr="00A469B3">
              <w:rPr>
                <w:rFonts w:cstheme="minorHAnsi"/>
                <w:b/>
                <w:i/>
                <w:iCs/>
                <w:lang w:val="en"/>
              </w:rPr>
              <w:t>****Further, more detailed guidance</w:t>
            </w:r>
            <w:r>
              <w:rPr>
                <w:rFonts w:cstheme="minorHAnsi"/>
                <w:b/>
                <w:i/>
                <w:iCs/>
                <w:lang w:val="en"/>
              </w:rPr>
              <w:t xml:space="preserve">. </w:t>
            </w:r>
            <w:proofErr w:type="gramStart"/>
            <w:r>
              <w:rPr>
                <w:rFonts w:cstheme="minorHAnsi"/>
                <w:b/>
                <w:i/>
                <w:iCs/>
                <w:lang w:val="en"/>
              </w:rPr>
              <w:t>E.g.</w:t>
            </w:r>
            <w:proofErr w:type="gramEnd"/>
            <w:r>
              <w:rPr>
                <w:rFonts w:cstheme="minorHAnsi"/>
                <w:b/>
                <w:i/>
                <w:iCs/>
                <w:lang w:val="en"/>
              </w:rPr>
              <w:t xml:space="preserve"> step-by-step guide</w:t>
            </w:r>
            <w:r w:rsidRPr="00A469B3">
              <w:rPr>
                <w:rFonts w:cstheme="minorHAnsi"/>
                <w:b/>
                <w:i/>
                <w:iCs/>
                <w:lang w:val="en"/>
              </w:rPr>
              <w:t>***</w:t>
            </w:r>
          </w:p>
          <w:p w14:paraId="022B330D" w14:textId="77777777" w:rsidR="0022552F" w:rsidRDefault="0022552F" w:rsidP="00B30336">
            <w:pPr>
              <w:rPr>
                <w:rFonts w:cstheme="minorHAnsi"/>
                <w:b/>
                <w:lang w:val="en"/>
              </w:rPr>
            </w:pPr>
          </w:p>
          <w:p w14:paraId="4E5225C8" w14:textId="77777777" w:rsidR="0022552F" w:rsidRDefault="0022552F" w:rsidP="00B30336">
            <w:pPr>
              <w:rPr>
                <w:rFonts w:cstheme="minorHAnsi"/>
                <w:b/>
                <w:lang w:val="en"/>
              </w:rPr>
            </w:pPr>
          </w:p>
          <w:p w14:paraId="40803C01" w14:textId="77777777" w:rsidR="0022552F" w:rsidRPr="002D4865" w:rsidRDefault="0022552F" w:rsidP="00B30336">
            <w:pPr>
              <w:rPr>
                <w:rFonts w:cstheme="minorHAnsi"/>
                <w:b/>
                <w:lang w:val="en"/>
              </w:rPr>
            </w:pPr>
            <w:r>
              <w:rPr>
                <w:rFonts w:cstheme="minorHAnsi"/>
                <w:b/>
                <w:lang w:val="en"/>
              </w:rPr>
              <w:t>This could include the following elements:</w:t>
            </w:r>
          </w:p>
          <w:p w14:paraId="128AD4BF" w14:textId="77777777" w:rsidR="0022552F" w:rsidRDefault="0022552F" w:rsidP="00B30336">
            <w:pPr>
              <w:rPr>
                <w:rFonts w:cstheme="minorHAnsi"/>
                <w:b/>
                <w:lang w:val="en"/>
              </w:rPr>
            </w:pPr>
          </w:p>
          <w:p w14:paraId="731069D1" w14:textId="77777777" w:rsidR="0022552F" w:rsidRPr="002D4865" w:rsidRDefault="0022552F" w:rsidP="00B30336">
            <w:pPr>
              <w:rPr>
                <w:rFonts w:cstheme="minorHAnsi"/>
                <w:b/>
                <w:lang w:val="en"/>
              </w:rPr>
            </w:pPr>
            <w:r w:rsidRPr="002D4865">
              <w:rPr>
                <w:rFonts w:cstheme="minorHAnsi"/>
                <w:b/>
                <w:lang w:val="en"/>
              </w:rPr>
              <w:t>Top tips:</w:t>
            </w:r>
          </w:p>
          <w:p w14:paraId="57B86D3D" w14:textId="77777777" w:rsidR="0022552F" w:rsidRDefault="0022552F" w:rsidP="00B30336">
            <w:pPr>
              <w:jc w:val="both"/>
              <w:rPr>
                <w:rFonts w:cstheme="minorHAnsi"/>
                <w:bCs/>
                <w:lang w:val="en"/>
              </w:rPr>
            </w:pPr>
          </w:p>
          <w:p w14:paraId="59438FCE" w14:textId="77777777" w:rsidR="0022552F" w:rsidRDefault="0022552F" w:rsidP="00B30336">
            <w:pPr>
              <w:jc w:val="both"/>
              <w:rPr>
                <w:rFonts w:cstheme="minorHAnsi"/>
                <w:bCs/>
                <w:lang w:val="en"/>
              </w:rPr>
            </w:pPr>
            <w:r w:rsidRPr="002D4865">
              <w:rPr>
                <w:rFonts w:cstheme="minorHAnsi"/>
                <w:bCs/>
                <w:lang w:val="en"/>
              </w:rPr>
              <w:t xml:space="preserve">A successful </w:t>
            </w:r>
            <w:r>
              <w:rPr>
                <w:rFonts w:cstheme="minorHAnsi"/>
                <w:bCs/>
                <w:lang w:val="en"/>
              </w:rPr>
              <w:t xml:space="preserve">assignment </w:t>
            </w:r>
            <w:r w:rsidRPr="002D4865">
              <w:rPr>
                <w:rFonts w:cstheme="minorHAnsi"/>
                <w:bCs/>
                <w:lang w:val="en"/>
              </w:rPr>
              <w:t>will have the following characteristics:</w:t>
            </w:r>
          </w:p>
          <w:p w14:paraId="0FF0B917" w14:textId="77777777" w:rsidR="0022552F" w:rsidRDefault="0022552F" w:rsidP="00B30336">
            <w:pPr>
              <w:jc w:val="both"/>
              <w:rPr>
                <w:rFonts w:cstheme="minorHAnsi"/>
                <w:bCs/>
                <w:lang w:val="en"/>
              </w:rPr>
            </w:pPr>
          </w:p>
          <w:p w14:paraId="20F9665F" w14:textId="77777777" w:rsidR="0022552F" w:rsidRDefault="0022552F" w:rsidP="0022552F">
            <w:pPr>
              <w:pStyle w:val="ListParagraph"/>
              <w:numPr>
                <w:ilvl w:val="0"/>
                <w:numId w:val="3"/>
              </w:numPr>
              <w:jc w:val="both"/>
              <w:rPr>
                <w:rFonts w:cstheme="minorHAnsi"/>
                <w:bCs/>
                <w:lang w:val="en"/>
              </w:rPr>
            </w:pPr>
            <w:r>
              <w:rPr>
                <w:rFonts w:cstheme="minorHAnsi"/>
                <w:bCs/>
                <w:lang w:val="en"/>
              </w:rPr>
              <w:t xml:space="preserve"> </w:t>
            </w:r>
          </w:p>
          <w:p w14:paraId="1AD91B23" w14:textId="77777777" w:rsidR="0022552F" w:rsidRPr="002B0C24" w:rsidRDefault="0022552F" w:rsidP="0022552F">
            <w:pPr>
              <w:pStyle w:val="ListParagraph"/>
              <w:numPr>
                <w:ilvl w:val="0"/>
                <w:numId w:val="3"/>
              </w:numPr>
              <w:jc w:val="both"/>
              <w:rPr>
                <w:rFonts w:cstheme="minorHAnsi"/>
                <w:bCs/>
                <w:lang w:val="en"/>
              </w:rPr>
            </w:pPr>
          </w:p>
          <w:p w14:paraId="15F2D247" w14:textId="77777777" w:rsidR="0022552F" w:rsidRPr="002D4865" w:rsidRDefault="0022552F" w:rsidP="00B30336">
            <w:pPr>
              <w:rPr>
                <w:rFonts w:cstheme="minorHAnsi"/>
                <w:b/>
                <w:bCs/>
              </w:rPr>
            </w:pPr>
          </w:p>
          <w:p w14:paraId="1F79A8FD" w14:textId="77777777" w:rsidR="0022552F" w:rsidRDefault="0022552F" w:rsidP="00B30336">
            <w:pPr>
              <w:rPr>
                <w:rFonts w:cstheme="minorHAnsi"/>
                <w:b/>
                <w:bCs/>
              </w:rPr>
            </w:pPr>
            <w:r w:rsidRPr="002D4865">
              <w:rPr>
                <w:rFonts w:cstheme="minorHAnsi"/>
                <w:b/>
                <w:bCs/>
              </w:rPr>
              <w:t>FAQs</w:t>
            </w:r>
          </w:p>
          <w:p w14:paraId="1954B86C" w14:textId="77777777" w:rsidR="0022552F" w:rsidRPr="002D4865" w:rsidRDefault="0022552F" w:rsidP="00B30336">
            <w:pPr>
              <w:rPr>
                <w:rFonts w:cstheme="minorHAnsi"/>
                <w:b/>
                <w:bCs/>
              </w:rPr>
            </w:pPr>
          </w:p>
          <w:p w14:paraId="6233B7C9" w14:textId="77777777" w:rsidR="0022552F" w:rsidRPr="002D4865" w:rsidRDefault="0022552F" w:rsidP="00B30336">
            <w:pPr>
              <w:jc w:val="both"/>
              <w:rPr>
                <w:rFonts w:eastAsia="Times New Roman" w:cstheme="minorHAnsi"/>
              </w:rPr>
            </w:pPr>
            <w:r w:rsidRPr="002D4865">
              <w:rPr>
                <w:rFonts w:eastAsia="Times New Roman" w:cstheme="minorHAnsi"/>
                <w:b/>
                <w:bCs/>
              </w:rPr>
              <w:t>Question</w:t>
            </w:r>
            <w:r w:rsidRPr="002D4865">
              <w:rPr>
                <w:rFonts w:eastAsia="Times New Roman" w:cstheme="minorHAnsi"/>
              </w:rPr>
              <w:t xml:space="preserve">: </w:t>
            </w:r>
          </w:p>
          <w:p w14:paraId="751E8ED4" w14:textId="77777777" w:rsidR="0022552F" w:rsidRPr="002D4865" w:rsidRDefault="0022552F" w:rsidP="00B30336">
            <w:pPr>
              <w:jc w:val="both"/>
              <w:rPr>
                <w:rFonts w:eastAsia="Times New Roman" w:cstheme="minorHAnsi"/>
              </w:rPr>
            </w:pPr>
            <w:r w:rsidRPr="002D4865">
              <w:rPr>
                <w:rFonts w:eastAsia="Times New Roman" w:cstheme="minorHAnsi"/>
                <w:b/>
                <w:bCs/>
              </w:rPr>
              <w:t>Answer</w:t>
            </w:r>
            <w:r w:rsidRPr="002D4865">
              <w:rPr>
                <w:rFonts w:eastAsia="Times New Roman" w:cstheme="minorHAnsi"/>
              </w:rPr>
              <w:t xml:space="preserve">: </w:t>
            </w:r>
          </w:p>
          <w:p w14:paraId="305A620A" w14:textId="77777777" w:rsidR="0022552F" w:rsidRPr="002D4865" w:rsidRDefault="0022552F" w:rsidP="00B30336">
            <w:pPr>
              <w:jc w:val="both"/>
              <w:rPr>
                <w:rFonts w:eastAsia="Times New Roman" w:cstheme="minorHAnsi"/>
              </w:rPr>
            </w:pPr>
          </w:p>
          <w:p w14:paraId="166FD966" w14:textId="77777777" w:rsidR="0022552F" w:rsidRDefault="0022552F" w:rsidP="00B30336">
            <w:pPr>
              <w:rPr>
                <w:rFonts w:eastAsia="Times New Roman" w:cstheme="minorHAnsi"/>
              </w:rPr>
            </w:pPr>
          </w:p>
          <w:p w14:paraId="5BF3E7A2" w14:textId="77777777" w:rsidR="0022552F" w:rsidRDefault="0022552F" w:rsidP="00B30336">
            <w:pPr>
              <w:rPr>
                <w:rFonts w:eastAsia="Times New Roman" w:cstheme="minorHAnsi"/>
              </w:rPr>
            </w:pPr>
          </w:p>
          <w:p w14:paraId="370A19EE" w14:textId="77777777" w:rsidR="0022552F" w:rsidRPr="002D4865" w:rsidRDefault="0022552F" w:rsidP="00B30336">
            <w:pPr>
              <w:rPr>
                <w:rFonts w:eastAsia="Times New Roman" w:cstheme="minorHAnsi"/>
              </w:rPr>
            </w:pPr>
          </w:p>
          <w:p w14:paraId="19917E67" w14:textId="77777777" w:rsidR="0022552F" w:rsidRPr="002D4865" w:rsidRDefault="0022552F" w:rsidP="00B30336">
            <w:pPr>
              <w:rPr>
                <w:rFonts w:cstheme="minorHAnsi"/>
              </w:rPr>
            </w:pPr>
            <w:r w:rsidRPr="002D4865">
              <w:rPr>
                <w:rFonts w:cstheme="minorHAnsi"/>
              </w:rPr>
              <w:t xml:space="preserve">Information about other forms of support, including 1:1 </w:t>
            </w:r>
            <w:proofErr w:type="gramStart"/>
            <w:r w:rsidRPr="002D4865">
              <w:rPr>
                <w:rFonts w:cstheme="minorHAnsi"/>
              </w:rPr>
              <w:t>sessions</w:t>
            </w:r>
            <w:proofErr w:type="gramEnd"/>
            <w:r w:rsidRPr="002D4865">
              <w:rPr>
                <w:rFonts w:cstheme="minorHAnsi"/>
              </w:rPr>
              <w:t xml:space="preserve"> for academic writing can be found here: </w:t>
            </w:r>
            <w:hyperlink r:id="rId8" w:history="1">
              <w:r w:rsidRPr="002D4865">
                <w:rPr>
                  <w:rStyle w:val="Hyperlink"/>
                  <w:rFonts w:cstheme="minorHAnsi"/>
                </w:rPr>
                <w:t>https://www4.ntu.ac.uk/student_services/study_support/writing/index.html</w:t>
              </w:r>
            </w:hyperlink>
          </w:p>
          <w:p w14:paraId="7DAAFF12" w14:textId="77777777" w:rsidR="0022552F" w:rsidRPr="002D4865" w:rsidRDefault="0022552F" w:rsidP="00B30336">
            <w:pPr>
              <w:jc w:val="both"/>
              <w:rPr>
                <w:rFonts w:eastAsia="Times New Roman" w:cstheme="minorHAnsi"/>
              </w:rPr>
            </w:pPr>
          </w:p>
          <w:p w14:paraId="24084496" w14:textId="77777777" w:rsidR="0022552F" w:rsidRPr="002D4865" w:rsidRDefault="0022552F" w:rsidP="00B30336">
            <w:pPr>
              <w:jc w:val="both"/>
              <w:rPr>
                <w:rFonts w:cstheme="minorHAnsi"/>
                <w:b/>
              </w:rPr>
            </w:pPr>
            <w:r w:rsidRPr="002D4865">
              <w:rPr>
                <w:rFonts w:cstheme="minorHAnsi"/>
                <w:b/>
              </w:rPr>
              <w:t>Plagiarism detection</w:t>
            </w:r>
          </w:p>
          <w:p w14:paraId="6C3BE975" w14:textId="77777777" w:rsidR="0022552F" w:rsidRPr="002D4865" w:rsidRDefault="0022552F" w:rsidP="00B30336">
            <w:pPr>
              <w:jc w:val="both"/>
              <w:rPr>
                <w:rFonts w:cstheme="minorHAnsi"/>
              </w:rPr>
            </w:pPr>
            <w:proofErr w:type="spellStart"/>
            <w:r w:rsidRPr="002D4865">
              <w:rPr>
                <w:rFonts w:cstheme="minorHAnsi"/>
              </w:rPr>
              <w:t>TurnitinUK</w:t>
            </w:r>
            <w:proofErr w:type="spellEnd"/>
            <w:r w:rsidRPr="002D4865">
              <w:rPr>
                <w:rFonts w:cstheme="minorHAnsi"/>
              </w:rPr>
              <w:t xml:space="preserve"> plagiarism detection software will be in use on this module and your assessment will </w:t>
            </w:r>
            <w:proofErr w:type="gramStart"/>
            <w:r w:rsidRPr="002D4865">
              <w:rPr>
                <w:rFonts w:cstheme="minorHAnsi"/>
              </w:rPr>
              <w:t>be checked</w:t>
            </w:r>
            <w:proofErr w:type="gramEnd"/>
            <w:r w:rsidRPr="002D4865">
              <w:rPr>
                <w:rFonts w:cstheme="minorHAnsi"/>
              </w:rPr>
              <w:t xml:space="preserve"> for plagiarism. If you do not understand the citation and referencing conventions for your course, please check the module handbook and the University Citation and Referencing Guide.</w:t>
            </w:r>
          </w:p>
          <w:p w14:paraId="51782BD5" w14:textId="77777777" w:rsidR="0022552F" w:rsidRPr="002D4865" w:rsidRDefault="0022552F" w:rsidP="00B30336">
            <w:pPr>
              <w:spacing w:after="160" w:line="259" w:lineRule="auto"/>
              <w:jc w:val="both"/>
              <w:rPr>
                <w:rFonts w:cstheme="minorHAnsi"/>
              </w:rPr>
            </w:pPr>
          </w:p>
        </w:tc>
      </w:tr>
      <w:tr w:rsidR="0022552F" w:rsidRPr="002D4865" w14:paraId="52D513D3" w14:textId="77777777" w:rsidTr="00B30336">
        <w:tc>
          <w:tcPr>
            <w:tcW w:w="9016" w:type="dxa"/>
            <w:gridSpan w:val="2"/>
          </w:tcPr>
          <w:tbl>
            <w:tblPr>
              <w:tblStyle w:val="TableGrid"/>
              <w:tblW w:w="0" w:type="auto"/>
              <w:tblLook w:val="04A0" w:firstRow="1" w:lastRow="0" w:firstColumn="1" w:lastColumn="0" w:noHBand="0" w:noVBand="1"/>
            </w:tblPr>
            <w:tblGrid>
              <w:gridCol w:w="8790"/>
            </w:tblGrid>
            <w:tr w:rsidR="0022552F" w:rsidRPr="002D4865" w14:paraId="67D90AA5" w14:textId="77777777" w:rsidTr="00B30336">
              <w:tc>
                <w:tcPr>
                  <w:tcW w:w="8790" w:type="dxa"/>
                </w:tcPr>
                <w:p w14:paraId="651F7976" w14:textId="77777777" w:rsidR="0022552F" w:rsidRPr="002D4865" w:rsidRDefault="0022552F" w:rsidP="00B30336">
                  <w:pPr>
                    <w:jc w:val="center"/>
                    <w:rPr>
                      <w:rFonts w:cstheme="minorHAnsi"/>
                      <w:b/>
                      <w:bCs/>
                    </w:rPr>
                  </w:pPr>
                  <w:r>
                    <w:rPr>
                      <w:rFonts w:cstheme="minorHAnsi"/>
                      <w:b/>
                      <w:bCs/>
                    </w:rPr>
                    <w:t xml:space="preserve">Formative / </w:t>
                  </w:r>
                  <w:r w:rsidRPr="002D4865">
                    <w:rPr>
                      <w:rFonts w:cstheme="minorHAnsi"/>
                      <w:b/>
                      <w:bCs/>
                    </w:rPr>
                    <w:t xml:space="preserve">Summative assessment </w:t>
                  </w:r>
                  <w:r>
                    <w:rPr>
                      <w:rFonts w:cstheme="minorHAnsi"/>
                      <w:b/>
                      <w:bCs/>
                    </w:rPr>
                    <w:t xml:space="preserve">2:              </w:t>
                  </w:r>
                </w:p>
                <w:p w14:paraId="038386DA" w14:textId="77777777" w:rsidR="0022552F" w:rsidRPr="002D4865" w:rsidRDefault="0022552F" w:rsidP="00B30336">
                  <w:pPr>
                    <w:jc w:val="center"/>
                    <w:rPr>
                      <w:rFonts w:cstheme="minorHAnsi"/>
                      <w:b/>
                      <w:bCs/>
                    </w:rPr>
                  </w:pPr>
                  <w:r w:rsidRPr="002D4865">
                    <w:rPr>
                      <w:rFonts w:cstheme="minorHAnsi"/>
                    </w:rPr>
                    <w:t>(</w:t>
                  </w:r>
                  <w:r>
                    <w:rPr>
                      <w:rFonts w:cstheme="minorHAnsi"/>
                    </w:rPr>
                    <w:t xml:space="preserve">**** % </w:t>
                  </w:r>
                  <w:r w:rsidRPr="002D4865">
                    <w:rPr>
                      <w:rFonts w:cstheme="minorHAnsi"/>
                    </w:rPr>
                    <w:t>of Module Grade)</w:t>
                  </w:r>
                </w:p>
              </w:tc>
            </w:tr>
            <w:tr w:rsidR="0022552F" w:rsidRPr="002D4865" w14:paraId="51000E97" w14:textId="77777777" w:rsidTr="00B30336">
              <w:tc>
                <w:tcPr>
                  <w:tcW w:w="8790" w:type="dxa"/>
                </w:tcPr>
                <w:p w14:paraId="0C7A57A7" w14:textId="77777777" w:rsidR="0022552F" w:rsidRDefault="0022552F" w:rsidP="00B30336">
                  <w:pPr>
                    <w:jc w:val="center"/>
                    <w:rPr>
                      <w:rFonts w:eastAsia="Times New Roman" w:cstheme="minorHAnsi"/>
                    </w:rPr>
                  </w:pPr>
                </w:p>
                <w:p w14:paraId="4C8150DF" w14:textId="77777777" w:rsidR="0022552F" w:rsidRPr="00A469B3" w:rsidRDefault="0022552F" w:rsidP="00B30336">
                  <w:pPr>
                    <w:jc w:val="center"/>
                    <w:rPr>
                      <w:rFonts w:eastAsia="Times New Roman" w:cstheme="minorHAnsi"/>
                      <w:i/>
                      <w:iCs/>
                    </w:rPr>
                  </w:pPr>
                  <w:r w:rsidRPr="00A469B3">
                    <w:rPr>
                      <w:rFonts w:eastAsia="Times New Roman" w:cstheme="minorHAnsi"/>
                      <w:i/>
                      <w:iCs/>
                    </w:rPr>
                    <w:t xml:space="preserve">**** </w:t>
                  </w:r>
                  <w:r>
                    <w:rPr>
                      <w:rFonts w:eastAsia="Times New Roman" w:cstheme="minorHAnsi"/>
                      <w:i/>
                      <w:iCs/>
                    </w:rPr>
                    <w:t>A</w:t>
                  </w:r>
                  <w:r w:rsidRPr="00A469B3">
                    <w:rPr>
                      <w:rFonts w:eastAsia="Times New Roman" w:cstheme="minorHAnsi"/>
                      <w:i/>
                      <w:iCs/>
                    </w:rPr>
                    <w:t>dd as many sections of the above format as needed (</w:t>
                  </w:r>
                  <w:proofErr w:type="gramStart"/>
                  <w:r w:rsidRPr="00A469B3">
                    <w:rPr>
                      <w:rFonts w:eastAsia="Times New Roman" w:cstheme="minorHAnsi"/>
                      <w:i/>
                      <w:iCs/>
                    </w:rPr>
                    <w:t>e.g.</w:t>
                  </w:r>
                  <w:proofErr w:type="gramEnd"/>
                  <w:r w:rsidRPr="00A469B3">
                    <w:rPr>
                      <w:rFonts w:eastAsia="Times New Roman" w:cstheme="minorHAnsi"/>
                      <w:i/>
                      <w:iCs/>
                    </w:rPr>
                    <w:t xml:space="preserve"> formative then summative assessments****</w:t>
                  </w:r>
                </w:p>
                <w:p w14:paraId="1808657D" w14:textId="77777777" w:rsidR="0022552F" w:rsidRDefault="0022552F" w:rsidP="00B30336">
                  <w:pPr>
                    <w:rPr>
                      <w:rFonts w:eastAsia="Times New Roman" w:cstheme="minorHAnsi"/>
                    </w:rPr>
                  </w:pPr>
                </w:p>
                <w:p w14:paraId="152A2429" w14:textId="77777777" w:rsidR="0022552F" w:rsidRDefault="0022552F" w:rsidP="00B30336">
                  <w:pPr>
                    <w:rPr>
                      <w:rFonts w:eastAsia="Times New Roman" w:cstheme="minorHAnsi"/>
                    </w:rPr>
                  </w:pPr>
                </w:p>
                <w:p w14:paraId="0CB9F1C5" w14:textId="77777777" w:rsidR="0022552F" w:rsidRPr="002D4865" w:rsidRDefault="0022552F" w:rsidP="00B30336">
                  <w:pPr>
                    <w:rPr>
                      <w:rFonts w:eastAsia="Times New Roman" w:cstheme="minorHAnsi"/>
                    </w:rPr>
                  </w:pPr>
                </w:p>
                <w:p w14:paraId="547CC0DF" w14:textId="77777777" w:rsidR="0022552F" w:rsidRPr="002D4865" w:rsidRDefault="0022552F" w:rsidP="00B30336">
                  <w:pPr>
                    <w:jc w:val="right"/>
                    <w:rPr>
                      <w:rFonts w:cstheme="minorHAnsi"/>
                      <w:i/>
                      <w:iCs/>
                    </w:rPr>
                  </w:pPr>
                </w:p>
              </w:tc>
            </w:tr>
          </w:tbl>
          <w:p w14:paraId="0A3CA00F" w14:textId="77777777" w:rsidR="0022552F" w:rsidRPr="002D4865" w:rsidRDefault="0022552F" w:rsidP="00B30336">
            <w:pPr>
              <w:jc w:val="center"/>
              <w:rPr>
                <w:rFonts w:cstheme="minorHAnsi"/>
                <w:b/>
                <w:bCs/>
              </w:rPr>
            </w:pPr>
          </w:p>
        </w:tc>
      </w:tr>
      <w:tr w:rsidR="0022552F" w:rsidRPr="002D4865" w14:paraId="7565A94A" w14:textId="77777777" w:rsidTr="00B30336">
        <w:tc>
          <w:tcPr>
            <w:tcW w:w="9016" w:type="dxa"/>
            <w:gridSpan w:val="2"/>
          </w:tcPr>
          <w:p w14:paraId="53665E37" w14:textId="77777777" w:rsidR="0022552F" w:rsidRDefault="0022552F" w:rsidP="00B30336">
            <w:pPr>
              <w:jc w:val="center"/>
              <w:rPr>
                <w:rFonts w:cstheme="minorHAnsi"/>
                <w:b/>
                <w:bCs/>
              </w:rPr>
            </w:pPr>
          </w:p>
          <w:p w14:paraId="193958A6" w14:textId="77777777" w:rsidR="0022552F" w:rsidRDefault="0022552F" w:rsidP="00B30336">
            <w:pPr>
              <w:jc w:val="center"/>
              <w:rPr>
                <w:rFonts w:cstheme="minorHAnsi"/>
                <w:b/>
                <w:bCs/>
              </w:rPr>
            </w:pPr>
          </w:p>
          <w:p w14:paraId="480A84A9" w14:textId="77777777" w:rsidR="0022552F" w:rsidRPr="002D4865" w:rsidRDefault="0022552F" w:rsidP="00B30336">
            <w:pPr>
              <w:jc w:val="center"/>
              <w:rPr>
                <w:rFonts w:cstheme="minorHAnsi"/>
                <w:b/>
                <w:bCs/>
              </w:rPr>
            </w:pPr>
            <w:r w:rsidRPr="002D4865">
              <w:rPr>
                <w:rFonts w:cstheme="minorHAnsi"/>
                <w:b/>
                <w:bCs/>
              </w:rPr>
              <w:t>Learning outcomes covered by this assessment</w:t>
            </w:r>
          </w:p>
          <w:p w14:paraId="5690359D" w14:textId="77777777" w:rsidR="0022552F" w:rsidRPr="002D4865" w:rsidRDefault="0022552F" w:rsidP="00B30336">
            <w:pPr>
              <w:pStyle w:val="Guidance"/>
              <w:spacing w:after="120"/>
              <w:jc w:val="center"/>
              <w:rPr>
                <w:rFonts w:asciiTheme="minorHAnsi" w:hAnsiTheme="minorHAnsi" w:cstheme="minorHAnsi"/>
                <w:sz w:val="22"/>
                <w:szCs w:val="22"/>
              </w:rPr>
            </w:pPr>
            <w:r w:rsidRPr="002D4865">
              <w:rPr>
                <w:rFonts w:asciiTheme="minorHAnsi" w:hAnsiTheme="minorHAnsi" w:cstheme="minorHAnsi"/>
                <w:i/>
                <w:iCs/>
                <w:sz w:val="22"/>
                <w:szCs w:val="22"/>
              </w:rPr>
              <w:t>Learning outcomes describe what you should know and be able to do by the end of the module</w:t>
            </w:r>
          </w:p>
        </w:tc>
      </w:tr>
      <w:tr w:rsidR="0022552F" w:rsidRPr="002D4865" w14:paraId="39C648EC" w14:textId="77777777" w:rsidTr="00B30336">
        <w:trPr>
          <w:trHeight w:val="795"/>
        </w:trPr>
        <w:tc>
          <w:tcPr>
            <w:tcW w:w="9016" w:type="dxa"/>
            <w:gridSpan w:val="2"/>
          </w:tcPr>
          <w:p w14:paraId="581C733E" w14:textId="77777777" w:rsidR="0022552F" w:rsidRPr="002D4865" w:rsidRDefault="0022552F" w:rsidP="00B30336">
            <w:pPr>
              <w:spacing w:after="120"/>
              <w:rPr>
                <w:rFonts w:cstheme="minorHAnsi"/>
              </w:rPr>
            </w:pPr>
            <w:r w:rsidRPr="002D4865">
              <w:rPr>
                <w:rFonts w:cstheme="minorHAnsi"/>
              </w:rPr>
              <w:lastRenderedPageBreak/>
              <w:t xml:space="preserve">Knowledge and understanding. After studying this </w:t>
            </w:r>
            <w:proofErr w:type="gramStart"/>
            <w:r w:rsidRPr="002D4865">
              <w:rPr>
                <w:rFonts w:cstheme="minorHAnsi"/>
              </w:rPr>
              <w:t>module</w:t>
            </w:r>
            <w:proofErr w:type="gramEnd"/>
            <w:r w:rsidRPr="002D4865">
              <w:rPr>
                <w:rFonts w:cstheme="minorHAnsi"/>
              </w:rPr>
              <w:t xml:space="preserve"> you should be able to:</w:t>
            </w:r>
          </w:p>
          <w:p w14:paraId="567DF900" w14:textId="77777777" w:rsidR="0022552F" w:rsidRPr="002D4865" w:rsidRDefault="0022552F" w:rsidP="0022552F">
            <w:pPr>
              <w:numPr>
                <w:ilvl w:val="0"/>
                <w:numId w:val="2"/>
              </w:numPr>
              <w:rPr>
                <w:rFonts w:cstheme="minorHAnsi"/>
              </w:rPr>
            </w:pPr>
          </w:p>
        </w:tc>
      </w:tr>
      <w:tr w:rsidR="0022552F" w:rsidRPr="002D4865" w14:paraId="6F4CFDC7" w14:textId="77777777" w:rsidTr="00B30336">
        <w:trPr>
          <w:trHeight w:val="956"/>
        </w:trPr>
        <w:tc>
          <w:tcPr>
            <w:tcW w:w="9016" w:type="dxa"/>
            <w:gridSpan w:val="2"/>
          </w:tcPr>
          <w:p w14:paraId="06E849FF" w14:textId="77777777" w:rsidR="0022552F" w:rsidRPr="002D4865" w:rsidRDefault="0022552F" w:rsidP="00B30336">
            <w:pPr>
              <w:spacing w:after="120"/>
              <w:rPr>
                <w:rFonts w:cstheme="minorHAnsi"/>
              </w:rPr>
            </w:pPr>
            <w:r w:rsidRPr="002D4865">
              <w:rPr>
                <w:rFonts w:cstheme="minorHAnsi"/>
              </w:rPr>
              <w:t xml:space="preserve">Skills, </w:t>
            </w:r>
            <w:proofErr w:type="gramStart"/>
            <w:r w:rsidRPr="002D4865">
              <w:rPr>
                <w:rFonts w:cstheme="minorHAnsi"/>
              </w:rPr>
              <w:t>qualities</w:t>
            </w:r>
            <w:proofErr w:type="gramEnd"/>
            <w:r w:rsidRPr="002D4865">
              <w:rPr>
                <w:rFonts w:cstheme="minorHAnsi"/>
              </w:rPr>
              <w:t xml:space="preserve"> and attributes. After studying this </w:t>
            </w:r>
            <w:proofErr w:type="gramStart"/>
            <w:r w:rsidRPr="002D4865">
              <w:rPr>
                <w:rFonts w:cstheme="minorHAnsi"/>
              </w:rPr>
              <w:t>module</w:t>
            </w:r>
            <w:proofErr w:type="gramEnd"/>
            <w:r w:rsidRPr="002D4865">
              <w:rPr>
                <w:rFonts w:cstheme="minorHAnsi"/>
              </w:rPr>
              <w:t xml:space="preserve"> you should be able to:</w:t>
            </w:r>
          </w:p>
          <w:p w14:paraId="186B8153" w14:textId="77777777" w:rsidR="0022552F" w:rsidRPr="002D4865" w:rsidRDefault="0022552F" w:rsidP="0022552F">
            <w:pPr>
              <w:pStyle w:val="ListParagraph"/>
              <w:numPr>
                <w:ilvl w:val="0"/>
                <w:numId w:val="2"/>
              </w:numPr>
              <w:spacing w:after="120"/>
              <w:rPr>
                <w:rFonts w:cstheme="minorHAnsi"/>
              </w:rPr>
            </w:pPr>
          </w:p>
        </w:tc>
      </w:tr>
      <w:tr w:rsidR="0022552F" w:rsidRPr="002D4865" w14:paraId="516C3070" w14:textId="77777777" w:rsidTr="00B30336">
        <w:tc>
          <w:tcPr>
            <w:tcW w:w="9016" w:type="dxa"/>
            <w:gridSpan w:val="2"/>
          </w:tcPr>
          <w:p w14:paraId="77B0B712" w14:textId="77777777" w:rsidR="0022552F" w:rsidRPr="002D4865" w:rsidRDefault="0022552F" w:rsidP="00B30336">
            <w:pPr>
              <w:keepLines/>
              <w:jc w:val="center"/>
              <w:rPr>
                <w:rFonts w:cstheme="minorHAnsi"/>
                <w:b/>
                <w:bCs/>
              </w:rPr>
            </w:pPr>
            <w:r w:rsidRPr="002D4865">
              <w:rPr>
                <w:rFonts w:cstheme="minorHAnsi"/>
                <w:b/>
                <w:bCs/>
              </w:rPr>
              <w:t>Module Reading List</w:t>
            </w:r>
          </w:p>
        </w:tc>
      </w:tr>
      <w:tr w:rsidR="0022552F" w:rsidRPr="002D4865" w14:paraId="71A24180" w14:textId="77777777" w:rsidTr="00B30336">
        <w:trPr>
          <w:trHeight w:val="6084"/>
        </w:trPr>
        <w:tc>
          <w:tcPr>
            <w:tcW w:w="9016" w:type="dxa"/>
            <w:gridSpan w:val="2"/>
          </w:tcPr>
          <w:p w14:paraId="3E8B1F1D" w14:textId="77777777" w:rsidR="0022552F" w:rsidRPr="00A469B3" w:rsidRDefault="0022552F" w:rsidP="00B30336">
            <w:pPr>
              <w:autoSpaceDE w:val="0"/>
              <w:autoSpaceDN w:val="0"/>
              <w:adjustRightInd w:val="0"/>
              <w:jc w:val="center"/>
              <w:rPr>
                <w:rFonts w:cstheme="minorHAnsi"/>
                <w:i/>
                <w:iCs/>
              </w:rPr>
            </w:pPr>
          </w:p>
          <w:p w14:paraId="7A3580FC" w14:textId="77777777" w:rsidR="0022552F" w:rsidRPr="002D4865" w:rsidRDefault="0022552F" w:rsidP="00B30336">
            <w:pPr>
              <w:autoSpaceDE w:val="0"/>
              <w:autoSpaceDN w:val="0"/>
              <w:adjustRightInd w:val="0"/>
              <w:jc w:val="center"/>
              <w:rPr>
                <w:rFonts w:cstheme="minorHAnsi"/>
              </w:rPr>
            </w:pPr>
            <w:r w:rsidRPr="00A469B3">
              <w:rPr>
                <w:rFonts w:cstheme="minorHAnsi"/>
                <w:i/>
                <w:iCs/>
              </w:rPr>
              <w:t>**** insert module reading list here (could be just core &amp; recommended texts or specific texts to support with assessment *****</w:t>
            </w:r>
          </w:p>
        </w:tc>
      </w:tr>
    </w:tbl>
    <w:p w14:paraId="78B7B260" w14:textId="77777777" w:rsidR="0022552F" w:rsidRDefault="0022552F" w:rsidP="0022552F"/>
    <w:tbl>
      <w:tblPr>
        <w:tblStyle w:val="TableGrid0"/>
        <w:tblpPr w:leftFromText="180" w:rightFromText="180" w:vertAnchor="text" w:horzAnchor="margin" w:tblpY="-17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24" w:type="dxa"/>
        </w:tblCellMar>
        <w:tblLook w:val="04A0" w:firstRow="1" w:lastRow="0" w:firstColumn="1" w:lastColumn="0" w:noHBand="0" w:noVBand="1"/>
      </w:tblPr>
      <w:tblGrid>
        <w:gridCol w:w="1169"/>
        <w:gridCol w:w="1672"/>
        <w:gridCol w:w="1394"/>
        <w:gridCol w:w="1243"/>
        <w:gridCol w:w="1286"/>
        <w:gridCol w:w="1222"/>
        <w:gridCol w:w="1385"/>
        <w:gridCol w:w="1085"/>
      </w:tblGrid>
      <w:tr w:rsidR="0022552F" w:rsidRPr="007819A4" w14:paraId="35DE721B" w14:textId="77777777" w:rsidTr="00B30336">
        <w:trPr>
          <w:trHeight w:val="282"/>
        </w:trPr>
        <w:tc>
          <w:tcPr>
            <w:tcW w:w="10456" w:type="dxa"/>
            <w:gridSpan w:val="8"/>
            <w:shd w:val="clear" w:color="auto" w:fill="F9FAFB"/>
          </w:tcPr>
          <w:p w14:paraId="3A42F5DA" w14:textId="77777777" w:rsidR="0022552F" w:rsidRPr="007819A4" w:rsidRDefault="0022552F" w:rsidP="00B30336">
            <w:pPr>
              <w:ind w:right="18"/>
              <w:jc w:val="center"/>
              <w:rPr>
                <w:rFonts w:ascii="Arial" w:hAnsi="Arial" w:cs="Arial"/>
                <w:b/>
                <w:bCs/>
                <w:sz w:val="20"/>
                <w:szCs w:val="20"/>
              </w:rPr>
            </w:pPr>
            <w:r>
              <w:rPr>
                <w:rFonts w:ascii="Arial" w:hAnsi="Arial" w:cs="Arial"/>
                <w:b/>
                <w:bCs/>
                <w:sz w:val="20"/>
                <w:szCs w:val="20"/>
              </w:rPr>
              <w:t>Assessment GBA Matrix</w:t>
            </w:r>
          </w:p>
        </w:tc>
      </w:tr>
      <w:tr w:rsidR="0022552F" w:rsidRPr="007819A4" w14:paraId="15FDEEE5" w14:textId="77777777" w:rsidTr="00B30336">
        <w:trPr>
          <w:trHeight w:val="282"/>
        </w:trPr>
        <w:tc>
          <w:tcPr>
            <w:tcW w:w="1169" w:type="dxa"/>
            <w:shd w:val="clear" w:color="auto" w:fill="F9FAFB"/>
          </w:tcPr>
          <w:p w14:paraId="31CC3B58" w14:textId="77777777" w:rsidR="0022552F" w:rsidRPr="007819A4" w:rsidRDefault="0022552F" w:rsidP="00B30336">
            <w:pPr>
              <w:rPr>
                <w:rFonts w:ascii="Arial" w:hAnsi="Arial" w:cs="Arial"/>
                <w:b/>
                <w:bCs/>
                <w:sz w:val="20"/>
                <w:szCs w:val="20"/>
              </w:rPr>
            </w:pPr>
            <w:r w:rsidRPr="007819A4">
              <w:rPr>
                <w:rFonts w:ascii="Arial" w:hAnsi="Arial" w:cs="Arial"/>
                <w:b/>
                <w:bCs/>
                <w:sz w:val="20"/>
                <w:szCs w:val="20"/>
              </w:rPr>
              <w:t>Criteria</w:t>
            </w:r>
          </w:p>
        </w:tc>
        <w:tc>
          <w:tcPr>
            <w:tcW w:w="1672" w:type="dxa"/>
            <w:shd w:val="clear" w:color="auto" w:fill="F9FAFB"/>
          </w:tcPr>
          <w:p w14:paraId="030D6807" w14:textId="77777777" w:rsidR="0022552F" w:rsidRPr="007819A4" w:rsidRDefault="0022552F" w:rsidP="00B30336">
            <w:pPr>
              <w:ind w:right="22"/>
              <w:jc w:val="center"/>
              <w:rPr>
                <w:rFonts w:ascii="Arial" w:hAnsi="Arial" w:cs="Arial"/>
                <w:b/>
                <w:bCs/>
                <w:sz w:val="20"/>
                <w:szCs w:val="20"/>
              </w:rPr>
            </w:pPr>
            <w:r w:rsidRPr="007819A4">
              <w:rPr>
                <w:rFonts w:ascii="Arial" w:hAnsi="Arial" w:cs="Arial"/>
                <w:b/>
                <w:bCs/>
                <w:sz w:val="20"/>
                <w:szCs w:val="20"/>
              </w:rPr>
              <w:t>Exceptional First</w:t>
            </w:r>
          </w:p>
        </w:tc>
        <w:tc>
          <w:tcPr>
            <w:tcW w:w="1394" w:type="dxa"/>
            <w:shd w:val="clear" w:color="auto" w:fill="F9FAFB"/>
          </w:tcPr>
          <w:p w14:paraId="345C8BD7" w14:textId="77777777" w:rsidR="0022552F" w:rsidRPr="007819A4" w:rsidRDefault="0022552F" w:rsidP="00B30336">
            <w:pPr>
              <w:ind w:right="23"/>
              <w:jc w:val="center"/>
              <w:rPr>
                <w:rFonts w:ascii="Arial" w:hAnsi="Arial" w:cs="Arial"/>
                <w:b/>
                <w:bCs/>
                <w:sz w:val="20"/>
                <w:szCs w:val="20"/>
              </w:rPr>
            </w:pPr>
            <w:r w:rsidRPr="007819A4">
              <w:rPr>
                <w:rFonts w:ascii="Arial" w:hAnsi="Arial" w:cs="Arial"/>
                <w:b/>
                <w:bCs/>
                <w:sz w:val="20"/>
                <w:szCs w:val="20"/>
              </w:rPr>
              <w:t>First</w:t>
            </w:r>
          </w:p>
        </w:tc>
        <w:tc>
          <w:tcPr>
            <w:tcW w:w="1243" w:type="dxa"/>
            <w:shd w:val="clear" w:color="auto" w:fill="F9FAFB"/>
          </w:tcPr>
          <w:p w14:paraId="5D6D92E5" w14:textId="77777777" w:rsidR="0022552F" w:rsidRPr="007819A4" w:rsidRDefault="0022552F" w:rsidP="00B30336">
            <w:pPr>
              <w:ind w:right="19"/>
              <w:jc w:val="center"/>
              <w:rPr>
                <w:rFonts w:ascii="Arial" w:hAnsi="Arial" w:cs="Arial"/>
                <w:b/>
                <w:bCs/>
                <w:sz w:val="20"/>
                <w:szCs w:val="20"/>
              </w:rPr>
            </w:pPr>
            <w:r w:rsidRPr="007819A4">
              <w:rPr>
                <w:rFonts w:ascii="Arial" w:hAnsi="Arial" w:cs="Arial"/>
                <w:b/>
                <w:bCs/>
                <w:sz w:val="20"/>
                <w:szCs w:val="20"/>
              </w:rPr>
              <w:t>2:1</w:t>
            </w:r>
          </w:p>
        </w:tc>
        <w:tc>
          <w:tcPr>
            <w:tcW w:w="1286" w:type="dxa"/>
            <w:shd w:val="clear" w:color="auto" w:fill="F9FAFB"/>
          </w:tcPr>
          <w:p w14:paraId="4FA9393A" w14:textId="77777777" w:rsidR="0022552F" w:rsidRPr="007819A4" w:rsidRDefault="0022552F" w:rsidP="00B30336">
            <w:pPr>
              <w:ind w:right="19"/>
              <w:jc w:val="center"/>
              <w:rPr>
                <w:rFonts w:ascii="Arial" w:hAnsi="Arial" w:cs="Arial"/>
                <w:b/>
                <w:bCs/>
                <w:sz w:val="20"/>
                <w:szCs w:val="20"/>
              </w:rPr>
            </w:pPr>
            <w:r w:rsidRPr="007819A4">
              <w:rPr>
                <w:rFonts w:ascii="Arial" w:hAnsi="Arial" w:cs="Arial"/>
                <w:b/>
                <w:bCs/>
                <w:sz w:val="20"/>
                <w:szCs w:val="20"/>
              </w:rPr>
              <w:t>2:2</w:t>
            </w:r>
          </w:p>
        </w:tc>
        <w:tc>
          <w:tcPr>
            <w:tcW w:w="1222" w:type="dxa"/>
            <w:shd w:val="clear" w:color="auto" w:fill="F9FAFB"/>
          </w:tcPr>
          <w:p w14:paraId="2A053E56" w14:textId="77777777" w:rsidR="0022552F" w:rsidRPr="007819A4" w:rsidRDefault="0022552F" w:rsidP="00B30336">
            <w:pPr>
              <w:ind w:right="22"/>
              <w:jc w:val="center"/>
              <w:rPr>
                <w:rFonts w:ascii="Arial" w:hAnsi="Arial" w:cs="Arial"/>
                <w:b/>
                <w:bCs/>
                <w:sz w:val="20"/>
                <w:szCs w:val="20"/>
              </w:rPr>
            </w:pPr>
            <w:r w:rsidRPr="007819A4">
              <w:rPr>
                <w:rFonts w:ascii="Arial" w:hAnsi="Arial" w:cs="Arial"/>
                <w:b/>
                <w:bCs/>
                <w:sz w:val="20"/>
                <w:szCs w:val="20"/>
              </w:rPr>
              <w:t>3rd</w:t>
            </w:r>
          </w:p>
        </w:tc>
        <w:tc>
          <w:tcPr>
            <w:tcW w:w="1385" w:type="dxa"/>
            <w:shd w:val="clear" w:color="auto" w:fill="F9FAFB"/>
          </w:tcPr>
          <w:p w14:paraId="26354209" w14:textId="77777777" w:rsidR="0022552F" w:rsidRPr="007819A4" w:rsidRDefault="0022552F" w:rsidP="00B30336">
            <w:pPr>
              <w:ind w:right="19"/>
              <w:jc w:val="center"/>
              <w:rPr>
                <w:rFonts w:ascii="Arial" w:hAnsi="Arial" w:cs="Arial"/>
                <w:b/>
                <w:bCs/>
                <w:sz w:val="20"/>
                <w:szCs w:val="20"/>
              </w:rPr>
            </w:pPr>
            <w:r w:rsidRPr="007819A4">
              <w:rPr>
                <w:rFonts w:ascii="Arial" w:hAnsi="Arial" w:cs="Arial"/>
                <w:b/>
                <w:bCs/>
                <w:sz w:val="20"/>
                <w:szCs w:val="20"/>
              </w:rPr>
              <w:t>Marginal Fail</w:t>
            </w:r>
          </w:p>
        </w:tc>
        <w:tc>
          <w:tcPr>
            <w:tcW w:w="1085" w:type="dxa"/>
            <w:shd w:val="clear" w:color="auto" w:fill="F9FAFB"/>
          </w:tcPr>
          <w:p w14:paraId="6433101C" w14:textId="77777777" w:rsidR="0022552F" w:rsidRPr="007819A4" w:rsidRDefault="0022552F" w:rsidP="00B30336">
            <w:pPr>
              <w:ind w:right="18"/>
              <w:jc w:val="center"/>
              <w:rPr>
                <w:rFonts w:ascii="Arial" w:hAnsi="Arial" w:cs="Arial"/>
                <w:b/>
                <w:bCs/>
                <w:sz w:val="20"/>
                <w:szCs w:val="20"/>
              </w:rPr>
            </w:pPr>
            <w:r w:rsidRPr="007819A4">
              <w:rPr>
                <w:rFonts w:ascii="Arial" w:hAnsi="Arial" w:cs="Arial"/>
                <w:b/>
                <w:bCs/>
                <w:sz w:val="20"/>
                <w:szCs w:val="20"/>
              </w:rPr>
              <w:t>Fail Mid Low</w:t>
            </w:r>
          </w:p>
        </w:tc>
      </w:tr>
      <w:tr w:rsidR="0022552F" w:rsidRPr="007819A4" w14:paraId="760573A2" w14:textId="77777777" w:rsidTr="00B30336">
        <w:trPr>
          <w:trHeight w:val="381"/>
        </w:trPr>
        <w:tc>
          <w:tcPr>
            <w:tcW w:w="1169" w:type="dxa"/>
          </w:tcPr>
          <w:p w14:paraId="49C2902C" w14:textId="77777777" w:rsidR="0022552F" w:rsidRDefault="0022552F" w:rsidP="00B30336">
            <w:pPr>
              <w:contextualSpacing/>
              <w:rPr>
                <w:rFonts w:ascii="Arial" w:hAnsi="Arial" w:cs="Arial"/>
                <w:b/>
                <w:bCs/>
                <w:sz w:val="20"/>
                <w:szCs w:val="20"/>
              </w:rPr>
            </w:pPr>
          </w:p>
          <w:p w14:paraId="4821BEAD" w14:textId="77777777" w:rsidR="0022552F" w:rsidRDefault="0022552F" w:rsidP="00B30336">
            <w:pPr>
              <w:contextualSpacing/>
              <w:rPr>
                <w:rFonts w:ascii="Arial" w:hAnsi="Arial" w:cs="Arial"/>
                <w:b/>
                <w:bCs/>
                <w:sz w:val="20"/>
                <w:szCs w:val="20"/>
              </w:rPr>
            </w:pPr>
          </w:p>
          <w:p w14:paraId="519CD2C1" w14:textId="77777777" w:rsidR="0022552F" w:rsidRDefault="0022552F" w:rsidP="00B30336">
            <w:pPr>
              <w:contextualSpacing/>
              <w:rPr>
                <w:rFonts w:ascii="Arial" w:hAnsi="Arial" w:cs="Arial"/>
                <w:b/>
                <w:bCs/>
                <w:sz w:val="20"/>
                <w:szCs w:val="20"/>
              </w:rPr>
            </w:pPr>
          </w:p>
          <w:p w14:paraId="084E2323" w14:textId="77777777" w:rsidR="0022552F" w:rsidRDefault="0022552F" w:rsidP="00B30336">
            <w:pPr>
              <w:contextualSpacing/>
              <w:rPr>
                <w:rFonts w:ascii="Arial" w:hAnsi="Arial" w:cs="Arial"/>
                <w:b/>
                <w:bCs/>
                <w:sz w:val="20"/>
                <w:szCs w:val="20"/>
              </w:rPr>
            </w:pPr>
          </w:p>
          <w:p w14:paraId="38A6B435" w14:textId="77777777" w:rsidR="0022552F" w:rsidRPr="007819A4" w:rsidRDefault="0022552F" w:rsidP="00B30336">
            <w:pPr>
              <w:contextualSpacing/>
              <w:rPr>
                <w:rFonts w:ascii="Arial" w:hAnsi="Arial" w:cs="Arial"/>
                <w:b/>
                <w:bCs/>
                <w:sz w:val="20"/>
                <w:szCs w:val="20"/>
              </w:rPr>
            </w:pPr>
          </w:p>
          <w:p w14:paraId="6E5C1B76" w14:textId="77777777" w:rsidR="0022552F" w:rsidRPr="007819A4" w:rsidRDefault="0022552F" w:rsidP="00B30336">
            <w:pPr>
              <w:rPr>
                <w:rFonts w:ascii="Arial" w:hAnsi="Arial" w:cs="Arial"/>
                <w:b/>
                <w:bCs/>
                <w:sz w:val="20"/>
                <w:szCs w:val="20"/>
              </w:rPr>
            </w:pPr>
          </w:p>
        </w:tc>
        <w:tc>
          <w:tcPr>
            <w:tcW w:w="1672" w:type="dxa"/>
          </w:tcPr>
          <w:p w14:paraId="5E965F46" w14:textId="77777777" w:rsidR="0022552F" w:rsidRPr="007819A4" w:rsidRDefault="0022552F" w:rsidP="00B30336">
            <w:pPr>
              <w:rPr>
                <w:rFonts w:ascii="Arial" w:hAnsi="Arial" w:cs="Arial"/>
                <w:sz w:val="20"/>
                <w:szCs w:val="20"/>
              </w:rPr>
            </w:pPr>
          </w:p>
        </w:tc>
        <w:tc>
          <w:tcPr>
            <w:tcW w:w="1394" w:type="dxa"/>
          </w:tcPr>
          <w:p w14:paraId="49D1DF5D" w14:textId="77777777" w:rsidR="0022552F" w:rsidRPr="007819A4" w:rsidRDefault="0022552F" w:rsidP="00B30336">
            <w:pPr>
              <w:ind w:left="5" w:right="26"/>
              <w:rPr>
                <w:rFonts w:ascii="Arial" w:hAnsi="Arial" w:cs="Arial"/>
                <w:sz w:val="20"/>
                <w:szCs w:val="20"/>
              </w:rPr>
            </w:pPr>
          </w:p>
        </w:tc>
        <w:tc>
          <w:tcPr>
            <w:tcW w:w="1243" w:type="dxa"/>
          </w:tcPr>
          <w:p w14:paraId="1372D1F2" w14:textId="77777777" w:rsidR="0022552F" w:rsidRPr="007819A4" w:rsidRDefault="0022552F" w:rsidP="00B30336">
            <w:pPr>
              <w:ind w:left="5" w:right="73"/>
              <w:rPr>
                <w:rFonts w:ascii="Arial" w:hAnsi="Arial" w:cs="Arial"/>
                <w:sz w:val="20"/>
                <w:szCs w:val="20"/>
              </w:rPr>
            </w:pPr>
          </w:p>
        </w:tc>
        <w:tc>
          <w:tcPr>
            <w:tcW w:w="1286" w:type="dxa"/>
          </w:tcPr>
          <w:p w14:paraId="36ECFE9E" w14:textId="77777777" w:rsidR="0022552F" w:rsidRPr="007819A4" w:rsidRDefault="0022552F" w:rsidP="00B30336">
            <w:pPr>
              <w:ind w:left="5"/>
              <w:rPr>
                <w:rFonts w:ascii="Arial" w:hAnsi="Arial" w:cs="Arial"/>
                <w:sz w:val="20"/>
                <w:szCs w:val="20"/>
              </w:rPr>
            </w:pPr>
            <w:r w:rsidRPr="007819A4">
              <w:rPr>
                <w:rFonts w:ascii="Arial" w:hAnsi="Arial" w:cs="Arial"/>
                <w:sz w:val="20"/>
                <w:szCs w:val="20"/>
              </w:rPr>
              <w:t>.</w:t>
            </w:r>
          </w:p>
        </w:tc>
        <w:tc>
          <w:tcPr>
            <w:tcW w:w="1222" w:type="dxa"/>
          </w:tcPr>
          <w:p w14:paraId="3CF0B4BD" w14:textId="77777777" w:rsidR="0022552F" w:rsidRPr="007819A4" w:rsidRDefault="0022552F" w:rsidP="00B30336">
            <w:pPr>
              <w:ind w:left="5" w:right="16"/>
              <w:rPr>
                <w:rFonts w:ascii="Arial" w:hAnsi="Arial" w:cs="Arial"/>
                <w:sz w:val="20"/>
                <w:szCs w:val="20"/>
              </w:rPr>
            </w:pPr>
          </w:p>
        </w:tc>
        <w:tc>
          <w:tcPr>
            <w:tcW w:w="1385" w:type="dxa"/>
          </w:tcPr>
          <w:p w14:paraId="7952791E" w14:textId="77777777" w:rsidR="0022552F" w:rsidRPr="007819A4" w:rsidRDefault="0022552F" w:rsidP="00B30336">
            <w:pPr>
              <w:ind w:left="5" w:right="16"/>
              <w:rPr>
                <w:rFonts w:ascii="Arial" w:hAnsi="Arial" w:cs="Arial"/>
                <w:sz w:val="20"/>
                <w:szCs w:val="20"/>
              </w:rPr>
            </w:pPr>
          </w:p>
        </w:tc>
        <w:tc>
          <w:tcPr>
            <w:tcW w:w="1085" w:type="dxa"/>
          </w:tcPr>
          <w:p w14:paraId="6BFD7885" w14:textId="77777777" w:rsidR="0022552F" w:rsidRPr="007819A4" w:rsidRDefault="0022552F" w:rsidP="00B30336">
            <w:pPr>
              <w:ind w:left="5"/>
              <w:rPr>
                <w:rFonts w:ascii="Arial" w:hAnsi="Arial" w:cs="Arial"/>
                <w:sz w:val="20"/>
                <w:szCs w:val="20"/>
              </w:rPr>
            </w:pPr>
          </w:p>
        </w:tc>
      </w:tr>
      <w:tr w:rsidR="0022552F" w:rsidRPr="007819A4" w14:paraId="36EA2CAD" w14:textId="77777777" w:rsidTr="00B30336">
        <w:trPr>
          <w:trHeight w:val="381"/>
        </w:trPr>
        <w:tc>
          <w:tcPr>
            <w:tcW w:w="1169" w:type="dxa"/>
          </w:tcPr>
          <w:p w14:paraId="4A320EA7" w14:textId="77777777" w:rsidR="0022552F" w:rsidRDefault="0022552F" w:rsidP="00B30336">
            <w:pPr>
              <w:contextualSpacing/>
              <w:rPr>
                <w:rFonts w:ascii="Arial" w:hAnsi="Arial" w:cs="Arial"/>
                <w:b/>
                <w:bCs/>
                <w:sz w:val="20"/>
                <w:szCs w:val="20"/>
              </w:rPr>
            </w:pPr>
          </w:p>
          <w:p w14:paraId="7D68FFCB" w14:textId="77777777" w:rsidR="0022552F" w:rsidRDefault="0022552F" w:rsidP="00B30336">
            <w:pPr>
              <w:contextualSpacing/>
              <w:rPr>
                <w:rFonts w:ascii="Arial" w:hAnsi="Arial" w:cs="Arial"/>
                <w:b/>
                <w:bCs/>
                <w:sz w:val="20"/>
                <w:szCs w:val="20"/>
              </w:rPr>
            </w:pPr>
          </w:p>
          <w:p w14:paraId="402A1ADD" w14:textId="77777777" w:rsidR="0022552F" w:rsidRDefault="0022552F" w:rsidP="00B30336">
            <w:pPr>
              <w:contextualSpacing/>
              <w:rPr>
                <w:rFonts w:ascii="Arial" w:hAnsi="Arial" w:cs="Arial"/>
                <w:b/>
                <w:bCs/>
                <w:sz w:val="20"/>
                <w:szCs w:val="20"/>
              </w:rPr>
            </w:pPr>
          </w:p>
          <w:p w14:paraId="2A555D8A" w14:textId="77777777" w:rsidR="0022552F" w:rsidRDefault="0022552F" w:rsidP="00B30336">
            <w:pPr>
              <w:contextualSpacing/>
              <w:rPr>
                <w:rFonts w:ascii="Arial" w:hAnsi="Arial" w:cs="Arial"/>
                <w:b/>
                <w:bCs/>
                <w:sz w:val="20"/>
                <w:szCs w:val="20"/>
              </w:rPr>
            </w:pPr>
          </w:p>
          <w:p w14:paraId="27F23506" w14:textId="77777777" w:rsidR="0022552F" w:rsidRDefault="0022552F" w:rsidP="00B30336">
            <w:pPr>
              <w:contextualSpacing/>
              <w:rPr>
                <w:rFonts w:ascii="Arial" w:hAnsi="Arial" w:cs="Arial"/>
                <w:b/>
                <w:bCs/>
                <w:sz w:val="20"/>
                <w:szCs w:val="20"/>
              </w:rPr>
            </w:pPr>
          </w:p>
          <w:p w14:paraId="11E9025F" w14:textId="77777777" w:rsidR="0022552F" w:rsidRDefault="0022552F" w:rsidP="00B30336">
            <w:pPr>
              <w:contextualSpacing/>
              <w:rPr>
                <w:rFonts w:ascii="Arial" w:hAnsi="Arial" w:cs="Arial"/>
                <w:b/>
                <w:bCs/>
                <w:sz w:val="20"/>
                <w:szCs w:val="20"/>
              </w:rPr>
            </w:pPr>
          </w:p>
          <w:p w14:paraId="330CAC29" w14:textId="77777777" w:rsidR="0022552F" w:rsidRDefault="0022552F" w:rsidP="00B30336">
            <w:pPr>
              <w:contextualSpacing/>
              <w:rPr>
                <w:rFonts w:ascii="Arial" w:hAnsi="Arial" w:cs="Arial"/>
                <w:b/>
                <w:bCs/>
                <w:sz w:val="20"/>
                <w:szCs w:val="20"/>
              </w:rPr>
            </w:pPr>
          </w:p>
        </w:tc>
        <w:tc>
          <w:tcPr>
            <w:tcW w:w="1672" w:type="dxa"/>
          </w:tcPr>
          <w:p w14:paraId="08357CD6" w14:textId="77777777" w:rsidR="0022552F" w:rsidRPr="007819A4" w:rsidRDefault="0022552F" w:rsidP="00B30336">
            <w:pPr>
              <w:rPr>
                <w:rFonts w:ascii="Arial" w:hAnsi="Arial" w:cs="Arial"/>
                <w:sz w:val="20"/>
                <w:szCs w:val="20"/>
              </w:rPr>
            </w:pPr>
          </w:p>
        </w:tc>
        <w:tc>
          <w:tcPr>
            <w:tcW w:w="1394" w:type="dxa"/>
          </w:tcPr>
          <w:p w14:paraId="0702CC5A" w14:textId="77777777" w:rsidR="0022552F" w:rsidRPr="007819A4" w:rsidRDefault="0022552F" w:rsidP="00B30336">
            <w:pPr>
              <w:ind w:left="5" w:right="26"/>
              <w:rPr>
                <w:rFonts w:ascii="Arial" w:hAnsi="Arial" w:cs="Arial"/>
                <w:sz w:val="20"/>
                <w:szCs w:val="20"/>
              </w:rPr>
            </w:pPr>
          </w:p>
        </w:tc>
        <w:tc>
          <w:tcPr>
            <w:tcW w:w="1243" w:type="dxa"/>
          </w:tcPr>
          <w:p w14:paraId="11664B6D" w14:textId="77777777" w:rsidR="0022552F" w:rsidRPr="007819A4" w:rsidRDefault="0022552F" w:rsidP="00B30336">
            <w:pPr>
              <w:ind w:left="5" w:right="73"/>
              <w:rPr>
                <w:rFonts w:ascii="Arial" w:hAnsi="Arial" w:cs="Arial"/>
                <w:sz w:val="20"/>
                <w:szCs w:val="20"/>
              </w:rPr>
            </w:pPr>
          </w:p>
        </w:tc>
        <w:tc>
          <w:tcPr>
            <w:tcW w:w="1286" w:type="dxa"/>
          </w:tcPr>
          <w:p w14:paraId="1C6846F4" w14:textId="77777777" w:rsidR="0022552F" w:rsidRPr="007819A4" w:rsidRDefault="0022552F" w:rsidP="00B30336">
            <w:pPr>
              <w:ind w:left="5"/>
              <w:rPr>
                <w:rFonts w:ascii="Arial" w:hAnsi="Arial" w:cs="Arial"/>
                <w:sz w:val="20"/>
                <w:szCs w:val="20"/>
              </w:rPr>
            </w:pPr>
          </w:p>
        </w:tc>
        <w:tc>
          <w:tcPr>
            <w:tcW w:w="1222" w:type="dxa"/>
          </w:tcPr>
          <w:p w14:paraId="6776B483" w14:textId="77777777" w:rsidR="0022552F" w:rsidRPr="007819A4" w:rsidRDefault="0022552F" w:rsidP="00B30336">
            <w:pPr>
              <w:ind w:left="5" w:right="16"/>
              <w:rPr>
                <w:rFonts w:ascii="Arial" w:hAnsi="Arial" w:cs="Arial"/>
                <w:sz w:val="20"/>
                <w:szCs w:val="20"/>
              </w:rPr>
            </w:pPr>
          </w:p>
        </w:tc>
        <w:tc>
          <w:tcPr>
            <w:tcW w:w="1385" w:type="dxa"/>
          </w:tcPr>
          <w:p w14:paraId="4FF7F66E" w14:textId="77777777" w:rsidR="0022552F" w:rsidRPr="007819A4" w:rsidRDefault="0022552F" w:rsidP="00B30336">
            <w:pPr>
              <w:ind w:left="5" w:right="16"/>
              <w:rPr>
                <w:rFonts w:ascii="Arial" w:hAnsi="Arial" w:cs="Arial"/>
                <w:sz w:val="20"/>
                <w:szCs w:val="20"/>
              </w:rPr>
            </w:pPr>
          </w:p>
        </w:tc>
        <w:tc>
          <w:tcPr>
            <w:tcW w:w="1085" w:type="dxa"/>
          </w:tcPr>
          <w:p w14:paraId="76B5C8ED" w14:textId="77777777" w:rsidR="0022552F" w:rsidRPr="007819A4" w:rsidRDefault="0022552F" w:rsidP="00B30336">
            <w:pPr>
              <w:ind w:left="5"/>
              <w:rPr>
                <w:rFonts w:ascii="Arial" w:hAnsi="Arial" w:cs="Arial"/>
                <w:sz w:val="20"/>
                <w:szCs w:val="20"/>
              </w:rPr>
            </w:pPr>
          </w:p>
        </w:tc>
      </w:tr>
      <w:tr w:rsidR="0022552F" w:rsidRPr="007819A4" w14:paraId="31A63F35" w14:textId="77777777" w:rsidTr="00B30336">
        <w:trPr>
          <w:trHeight w:val="920"/>
        </w:trPr>
        <w:tc>
          <w:tcPr>
            <w:tcW w:w="1169" w:type="dxa"/>
          </w:tcPr>
          <w:p w14:paraId="50C0B6FF" w14:textId="77777777" w:rsidR="0022552F" w:rsidRDefault="0022552F" w:rsidP="00B30336">
            <w:pPr>
              <w:contextualSpacing/>
              <w:rPr>
                <w:rFonts w:ascii="Arial" w:hAnsi="Arial" w:cs="Arial"/>
                <w:b/>
                <w:bCs/>
                <w:sz w:val="20"/>
                <w:szCs w:val="20"/>
              </w:rPr>
            </w:pPr>
          </w:p>
          <w:p w14:paraId="0C393FCA" w14:textId="77777777" w:rsidR="0022552F" w:rsidRDefault="0022552F" w:rsidP="00B30336">
            <w:pPr>
              <w:contextualSpacing/>
              <w:rPr>
                <w:rFonts w:ascii="Arial" w:hAnsi="Arial" w:cs="Arial"/>
                <w:b/>
                <w:bCs/>
                <w:sz w:val="20"/>
                <w:szCs w:val="20"/>
              </w:rPr>
            </w:pPr>
          </w:p>
          <w:p w14:paraId="0B50D21F" w14:textId="77777777" w:rsidR="0022552F" w:rsidRDefault="0022552F" w:rsidP="00B30336">
            <w:pPr>
              <w:contextualSpacing/>
              <w:rPr>
                <w:rFonts w:ascii="Arial" w:hAnsi="Arial" w:cs="Arial"/>
                <w:b/>
                <w:bCs/>
                <w:sz w:val="20"/>
                <w:szCs w:val="20"/>
              </w:rPr>
            </w:pPr>
          </w:p>
          <w:p w14:paraId="3699A968" w14:textId="77777777" w:rsidR="0022552F" w:rsidRDefault="0022552F" w:rsidP="00B30336">
            <w:pPr>
              <w:contextualSpacing/>
              <w:rPr>
                <w:rFonts w:ascii="Arial" w:hAnsi="Arial" w:cs="Arial"/>
                <w:b/>
                <w:bCs/>
                <w:sz w:val="20"/>
                <w:szCs w:val="20"/>
              </w:rPr>
            </w:pPr>
          </w:p>
          <w:p w14:paraId="4004D2D3" w14:textId="77777777" w:rsidR="0022552F" w:rsidRDefault="0022552F" w:rsidP="00B30336">
            <w:pPr>
              <w:contextualSpacing/>
              <w:rPr>
                <w:rFonts w:ascii="Arial" w:hAnsi="Arial" w:cs="Arial"/>
                <w:b/>
                <w:bCs/>
                <w:sz w:val="20"/>
                <w:szCs w:val="20"/>
              </w:rPr>
            </w:pPr>
          </w:p>
          <w:p w14:paraId="1418AC8A" w14:textId="77777777" w:rsidR="0022552F" w:rsidRDefault="0022552F" w:rsidP="00B30336">
            <w:pPr>
              <w:contextualSpacing/>
              <w:rPr>
                <w:rFonts w:ascii="Arial" w:hAnsi="Arial" w:cs="Arial"/>
                <w:b/>
                <w:bCs/>
                <w:sz w:val="20"/>
                <w:szCs w:val="20"/>
              </w:rPr>
            </w:pPr>
          </w:p>
        </w:tc>
        <w:tc>
          <w:tcPr>
            <w:tcW w:w="1672" w:type="dxa"/>
          </w:tcPr>
          <w:p w14:paraId="119FF357" w14:textId="77777777" w:rsidR="0022552F" w:rsidRPr="007819A4" w:rsidRDefault="0022552F" w:rsidP="00B30336">
            <w:pPr>
              <w:rPr>
                <w:rFonts w:ascii="Arial" w:hAnsi="Arial" w:cs="Arial"/>
                <w:sz w:val="20"/>
                <w:szCs w:val="20"/>
              </w:rPr>
            </w:pPr>
          </w:p>
        </w:tc>
        <w:tc>
          <w:tcPr>
            <w:tcW w:w="1394" w:type="dxa"/>
          </w:tcPr>
          <w:p w14:paraId="404715D7" w14:textId="77777777" w:rsidR="0022552F" w:rsidRPr="007819A4" w:rsidRDefault="0022552F" w:rsidP="00B30336">
            <w:pPr>
              <w:ind w:left="5" w:right="26"/>
              <w:rPr>
                <w:rFonts w:ascii="Arial" w:hAnsi="Arial" w:cs="Arial"/>
                <w:sz w:val="20"/>
                <w:szCs w:val="20"/>
              </w:rPr>
            </w:pPr>
          </w:p>
        </w:tc>
        <w:tc>
          <w:tcPr>
            <w:tcW w:w="1243" w:type="dxa"/>
          </w:tcPr>
          <w:p w14:paraId="021DACA8" w14:textId="77777777" w:rsidR="0022552F" w:rsidRPr="007819A4" w:rsidRDefault="0022552F" w:rsidP="00B30336">
            <w:pPr>
              <w:ind w:left="5" w:right="73"/>
              <w:rPr>
                <w:rFonts w:ascii="Arial" w:hAnsi="Arial" w:cs="Arial"/>
                <w:sz w:val="20"/>
                <w:szCs w:val="20"/>
              </w:rPr>
            </w:pPr>
          </w:p>
        </w:tc>
        <w:tc>
          <w:tcPr>
            <w:tcW w:w="1286" w:type="dxa"/>
          </w:tcPr>
          <w:p w14:paraId="47754A73" w14:textId="77777777" w:rsidR="0022552F" w:rsidRPr="007819A4" w:rsidRDefault="0022552F" w:rsidP="00B30336">
            <w:pPr>
              <w:ind w:left="5"/>
              <w:rPr>
                <w:rFonts w:ascii="Arial" w:hAnsi="Arial" w:cs="Arial"/>
                <w:sz w:val="20"/>
                <w:szCs w:val="20"/>
              </w:rPr>
            </w:pPr>
          </w:p>
        </w:tc>
        <w:tc>
          <w:tcPr>
            <w:tcW w:w="1222" w:type="dxa"/>
          </w:tcPr>
          <w:p w14:paraId="79B5F811" w14:textId="77777777" w:rsidR="0022552F" w:rsidRPr="007819A4" w:rsidRDefault="0022552F" w:rsidP="00B30336">
            <w:pPr>
              <w:ind w:left="5" w:right="16"/>
              <w:rPr>
                <w:rFonts w:ascii="Arial" w:hAnsi="Arial" w:cs="Arial"/>
                <w:sz w:val="20"/>
                <w:szCs w:val="20"/>
              </w:rPr>
            </w:pPr>
          </w:p>
        </w:tc>
        <w:tc>
          <w:tcPr>
            <w:tcW w:w="1385" w:type="dxa"/>
          </w:tcPr>
          <w:p w14:paraId="54FA904C" w14:textId="77777777" w:rsidR="0022552F" w:rsidRPr="007819A4" w:rsidRDefault="0022552F" w:rsidP="00B30336">
            <w:pPr>
              <w:ind w:left="5" w:right="16"/>
              <w:rPr>
                <w:rFonts w:ascii="Arial" w:hAnsi="Arial" w:cs="Arial"/>
                <w:sz w:val="20"/>
                <w:szCs w:val="20"/>
              </w:rPr>
            </w:pPr>
          </w:p>
        </w:tc>
        <w:tc>
          <w:tcPr>
            <w:tcW w:w="1085" w:type="dxa"/>
          </w:tcPr>
          <w:p w14:paraId="2B7E91A5" w14:textId="77777777" w:rsidR="0022552F" w:rsidRPr="007819A4" w:rsidRDefault="0022552F" w:rsidP="00B30336">
            <w:pPr>
              <w:ind w:left="5"/>
              <w:rPr>
                <w:rFonts w:ascii="Arial" w:hAnsi="Arial" w:cs="Arial"/>
                <w:sz w:val="20"/>
                <w:szCs w:val="20"/>
              </w:rPr>
            </w:pPr>
          </w:p>
        </w:tc>
      </w:tr>
    </w:tbl>
    <w:p w14:paraId="0AF7756C" w14:textId="77777777" w:rsidR="004521DB" w:rsidRDefault="004521DB"/>
    <w:sectPr w:rsidR="004521DB" w:rsidSect="002255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AAD"/>
    <w:multiLevelType w:val="hybridMultilevel"/>
    <w:tmpl w:val="27D447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6E03DD"/>
    <w:multiLevelType w:val="hybridMultilevel"/>
    <w:tmpl w:val="DA84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C73C2"/>
    <w:multiLevelType w:val="hybridMultilevel"/>
    <w:tmpl w:val="6F8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799137">
    <w:abstractNumId w:val="1"/>
  </w:num>
  <w:num w:numId="2" w16cid:durableId="815611629">
    <w:abstractNumId w:val="0"/>
  </w:num>
  <w:num w:numId="3" w16cid:durableId="126484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2F"/>
    <w:rsid w:val="0022552F"/>
    <w:rsid w:val="0045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2EEB"/>
  <w15:chartTrackingRefBased/>
  <w15:docId w15:val="{C58A4A7E-76E7-4C8D-B724-95DB0A3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2F"/>
    <w:rPr>
      <w:color w:val="0000FF"/>
      <w:u w:val="single"/>
    </w:rPr>
  </w:style>
  <w:style w:type="paragraph" w:styleId="ListParagraph">
    <w:name w:val="List Paragraph"/>
    <w:basedOn w:val="Normal"/>
    <w:uiPriority w:val="34"/>
    <w:qFormat/>
    <w:rsid w:val="0022552F"/>
    <w:pPr>
      <w:ind w:left="720"/>
      <w:contextualSpacing/>
    </w:pPr>
  </w:style>
  <w:style w:type="paragraph" w:customStyle="1" w:styleId="Body">
    <w:name w:val="Body"/>
    <w:rsid w:val="0022552F"/>
    <w:pPr>
      <w:spacing w:after="0" w:line="480" w:lineRule="auto"/>
    </w:pPr>
    <w:rPr>
      <w:rFonts w:ascii="Helvetica Neue" w:eastAsia="Arial Unicode MS" w:hAnsi="Helvetica Neue" w:cs="Arial Unicode MS"/>
      <w:color w:val="000000"/>
      <w:sz w:val="24"/>
      <w:szCs w:val="24"/>
      <w:lang w:val="es-ES_tradnl"/>
    </w:rPr>
  </w:style>
  <w:style w:type="table" w:styleId="TableGrid">
    <w:name w:val="Table Grid"/>
    <w:basedOn w:val="TableNormal"/>
    <w:uiPriority w:val="39"/>
    <w:rsid w:val="0022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rsid w:val="0022552F"/>
    <w:pPr>
      <w:spacing w:after="60" w:line="240" w:lineRule="auto"/>
    </w:pPr>
    <w:rPr>
      <w:rFonts w:ascii="Verdana" w:eastAsia="Times New Roman" w:hAnsi="Verdana" w:cs="Times New Roman"/>
      <w:sz w:val="16"/>
      <w:szCs w:val="20"/>
      <w:lang w:eastAsia="en-GB"/>
    </w:rPr>
  </w:style>
  <w:style w:type="table" w:customStyle="1" w:styleId="TableGrid0">
    <w:name w:val="TableGrid"/>
    <w:rsid w:val="0022552F"/>
    <w:pPr>
      <w:spacing w:after="0" w:line="240" w:lineRule="auto"/>
    </w:pPr>
    <w:rPr>
      <w:rFonts w:eastAsiaTheme="minorEastAsia"/>
      <w:lang w:eastAsia="ja-JP"/>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2552F"/>
    <w:rPr>
      <w:color w:val="605E5C"/>
      <w:shd w:val="clear" w:color="auto" w:fill="E1DFDD"/>
    </w:rPr>
  </w:style>
  <w:style w:type="character" w:styleId="FollowedHyperlink">
    <w:name w:val="FollowedHyperlink"/>
    <w:basedOn w:val="DefaultParagraphFont"/>
    <w:uiPriority w:val="99"/>
    <w:semiHidden/>
    <w:unhideWhenUsed/>
    <w:rsid w:val="00225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ntu.ac.uk/student_services/study_support/writing/index.html" TargetMode="External"/><Relationship Id="rId3" Type="http://schemas.openxmlformats.org/officeDocument/2006/relationships/settings" Target="settings.xml"/><Relationship Id="rId7" Type="http://schemas.openxmlformats.org/officeDocument/2006/relationships/hyperlink" Target="https://www.qaa.ac.uk//en/quality-code/advice-and-guidanc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ance-he.ac.uk/knowledge-hub/essential-frameworks-enhancing-student-success-transforming-assessment" TargetMode="External"/><Relationship Id="rId5" Type="http://schemas.openxmlformats.org/officeDocument/2006/relationships/hyperlink" Target="https://prezi.com/view/ljSeNaR00Do5bEQFeT1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Allen</dc:creator>
  <cp:keywords/>
  <dc:description/>
  <cp:lastModifiedBy>Amy Allen</cp:lastModifiedBy>
  <cp:revision>1</cp:revision>
  <dcterms:created xsi:type="dcterms:W3CDTF">2022-06-23T10:27:00Z</dcterms:created>
  <dcterms:modified xsi:type="dcterms:W3CDTF">2022-06-23T10:30:00Z</dcterms:modified>
</cp:coreProperties>
</file>