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921A" w14:textId="306A8609" w:rsidR="00106356" w:rsidRPr="009E1038" w:rsidRDefault="00106356" w:rsidP="00335F55">
      <w:pPr>
        <w:rPr>
          <w:rFonts w:asciiTheme="minorHAnsi" w:hAnsiTheme="minorHAnsi" w:cstheme="minorHAnsi"/>
          <w:b/>
          <w:bCs/>
          <w:u w:val="single"/>
        </w:rPr>
      </w:pPr>
      <w:r w:rsidRPr="009E1038">
        <w:rPr>
          <w:rFonts w:asciiTheme="minorHAnsi" w:hAnsiTheme="minorHAnsi" w:cstheme="minorHAnsi"/>
          <w:b/>
          <w:bCs/>
          <w:u w:val="single"/>
        </w:rPr>
        <w:t>Creative and active pedagogies:</w:t>
      </w:r>
    </w:p>
    <w:p w14:paraId="01A4D4AD" w14:textId="77777777" w:rsidR="00106356" w:rsidRPr="009E1038" w:rsidRDefault="00106356" w:rsidP="00335F55">
      <w:pPr>
        <w:rPr>
          <w:rFonts w:asciiTheme="minorHAnsi" w:hAnsiTheme="minorHAnsi" w:cstheme="minorHAnsi"/>
        </w:rPr>
      </w:pPr>
    </w:p>
    <w:p w14:paraId="715C5F24" w14:textId="6F7794AD" w:rsidR="00335F55" w:rsidRPr="009E1038" w:rsidRDefault="006E0F79" w:rsidP="00335F55">
      <w:pPr>
        <w:rPr>
          <w:rFonts w:asciiTheme="minorHAnsi" w:hAnsiTheme="minorHAnsi" w:cstheme="minorHAnsi"/>
        </w:rPr>
      </w:pPr>
      <w:r w:rsidRPr="009E1038">
        <w:rPr>
          <w:rFonts w:asciiTheme="minorHAnsi" w:hAnsiTheme="minorHAnsi" w:cstheme="minorHAnsi"/>
        </w:rPr>
        <w:t xml:space="preserve">The broad context in which learning, teaching and pedagogical activities within higher education (HE) is changing at a rapid rate where lecturers are required to deliver content more creatively </w:t>
      </w:r>
      <w:proofErr w:type="gramStart"/>
      <w:r w:rsidRPr="009E1038">
        <w:rPr>
          <w:rFonts w:asciiTheme="minorHAnsi" w:hAnsiTheme="minorHAnsi" w:cstheme="minorHAnsi"/>
        </w:rPr>
        <w:t>within</w:t>
      </w:r>
      <w:proofErr w:type="gramEnd"/>
      <w:r w:rsidRPr="009E1038">
        <w:rPr>
          <w:rFonts w:asciiTheme="minorHAnsi" w:hAnsiTheme="minorHAnsi" w:cstheme="minorHAnsi"/>
        </w:rPr>
        <w:t xml:space="preserve"> HE (Cleaver et al 2014, Taylor &amp; Parson 2011). With the crisis we are in </w:t>
      </w:r>
      <w:r w:rsidR="007241A6" w:rsidRPr="009E1038">
        <w:rPr>
          <w:rFonts w:asciiTheme="minorHAnsi" w:hAnsiTheme="minorHAnsi" w:cstheme="minorHAnsi"/>
        </w:rPr>
        <w:t xml:space="preserve">regarding </w:t>
      </w:r>
      <w:r w:rsidRPr="009E1038">
        <w:rPr>
          <w:rFonts w:asciiTheme="minorHAnsi" w:hAnsiTheme="minorHAnsi" w:cstheme="minorHAnsi"/>
        </w:rPr>
        <w:t>Covid 19 pandemic, when all lectures, seminars and meetings are taking place via IT platforms, many will struggle to engage students through didactic approaches. Moreover, there is a growing expectation for academics to use their skills in research, scholarship and higher order thinking to improve and develop a more positive students experience overall which</w:t>
      </w:r>
      <w:r w:rsidR="00397FC8" w:rsidRPr="009E1038">
        <w:rPr>
          <w:rFonts w:asciiTheme="minorHAnsi" w:hAnsiTheme="minorHAnsi" w:cstheme="minorHAnsi"/>
        </w:rPr>
        <w:t>,</w:t>
      </w:r>
      <w:r w:rsidRPr="009E1038">
        <w:rPr>
          <w:rFonts w:asciiTheme="minorHAnsi" w:hAnsiTheme="minorHAnsi" w:cstheme="minorHAnsi"/>
        </w:rPr>
        <w:t xml:space="preserve"> will ultimately impact</w:t>
      </w:r>
      <w:r w:rsidR="00397FC8" w:rsidRPr="009E1038">
        <w:rPr>
          <w:rFonts w:asciiTheme="minorHAnsi" w:hAnsiTheme="minorHAnsi" w:cstheme="minorHAnsi"/>
        </w:rPr>
        <w:t>s</w:t>
      </w:r>
      <w:r w:rsidRPr="009E1038">
        <w:rPr>
          <w:rFonts w:asciiTheme="minorHAnsi" w:hAnsiTheme="minorHAnsi" w:cstheme="minorHAnsi"/>
        </w:rPr>
        <w:t xml:space="preserve"> on</w:t>
      </w:r>
      <w:r w:rsidR="00397FC8" w:rsidRPr="009E1038">
        <w:rPr>
          <w:rFonts w:asciiTheme="minorHAnsi" w:hAnsiTheme="minorHAnsi" w:cstheme="minorHAnsi"/>
        </w:rPr>
        <w:t xml:space="preserve"> University </w:t>
      </w:r>
      <w:r w:rsidRPr="009E1038">
        <w:rPr>
          <w:rFonts w:asciiTheme="minorHAnsi" w:hAnsiTheme="minorHAnsi" w:cstheme="minorHAnsi"/>
        </w:rPr>
        <w:t>NSS results (Cleaver et al 2014). Nevertheless, does this bode well with all educators who may have significant subject knowledge in an area of expertise and who use more didactic approach</w:t>
      </w:r>
      <w:r w:rsidR="008E7B92" w:rsidRPr="009E1038">
        <w:rPr>
          <w:rFonts w:asciiTheme="minorHAnsi" w:hAnsiTheme="minorHAnsi" w:cstheme="minorHAnsi"/>
        </w:rPr>
        <w:t>es</w:t>
      </w:r>
      <w:r w:rsidRPr="009E1038">
        <w:rPr>
          <w:rFonts w:asciiTheme="minorHAnsi" w:hAnsiTheme="minorHAnsi" w:cstheme="minorHAnsi"/>
        </w:rPr>
        <w:t xml:space="preserve"> to teaching and learning? Will these ‘subject specialist’ struggle with creative approaches to teaching and learning? </w:t>
      </w:r>
    </w:p>
    <w:p w14:paraId="18DE1F86" w14:textId="147B1607" w:rsidR="006E0F79" w:rsidRPr="009E1038" w:rsidRDefault="006E0F79" w:rsidP="00335F55">
      <w:pPr>
        <w:rPr>
          <w:rFonts w:asciiTheme="minorHAnsi" w:hAnsiTheme="minorHAnsi" w:cstheme="minorHAnsi"/>
        </w:rPr>
      </w:pPr>
      <w:r w:rsidRPr="009E1038">
        <w:rPr>
          <w:rFonts w:asciiTheme="minorHAnsi" w:hAnsiTheme="minorHAnsi" w:cstheme="minorHAnsi"/>
        </w:rPr>
        <w:t xml:space="preserve">What is evident is that students have changed over the last 20 years, which many believe in responses to their engagement with technology and their upbringing (Taylor and Parson 2011) Furthermore, we are unsure of what is around the corner as restrictions begin to move, will students struggle within large lecture theatres being taught didactically </w:t>
      </w:r>
      <w:r w:rsidR="00B34BD9" w:rsidRPr="009E1038">
        <w:rPr>
          <w:rFonts w:asciiTheme="minorHAnsi" w:hAnsiTheme="minorHAnsi" w:cstheme="minorHAnsi"/>
        </w:rPr>
        <w:t xml:space="preserve">as they maybe used to being </w:t>
      </w:r>
      <w:r w:rsidR="00335F55" w:rsidRPr="009E1038">
        <w:rPr>
          <w:rFonts w:asciiTheme="minorHAnsi" w:hAnsiTheme="minorHAnsi" w:cstheme="minorHAnsi"/>
        </w:rPr>
        <w:t>taught</w:t>
      </w:r>
      <w:r w:rsidR="00B34BD9" w:rsidRPr="009E1038">
        <w:rPr>
          <w:rFonts w:asciiTheme="minorHAnsi" w:hAnsiTheme="minorHAnsi" w:cstheme="minorHAnsi"/>
        </w:rPr>
        <w:t xml:space="preserve"> using IT platforms?</w:t>
      </w:r>
    </w:p>
    <w:p w14:paraId="1C6C14E6" w14:textId="2ACDA953" w:rsidR="006E0F79" w:rsidRPr="009E1038" w:rsidRDefault="006E0F79" w:rsidP="006E0F79">
      <w:pPr>
        <w:rPr>
          <w:rFonts w:asciiTheme="minorHAnsi" w:hAnsiTheme="minorHAnsi" w:cstheme="minorHAnsi"/>
        </w:rPr>
      </w:pPr>
      <w:r w:rsidRPr="009E1038">
        <w:rPr>
          <w:rFonts w:asciiTheme="minorHAnsi" w:hAnsiTheme="minorHAnsi" w:cstheme="minorHAnsi"/>
        </w:rPr>
        <w:t xml:space="preserve">Research has highlighted that, students are becoming less engaged within lectures (Goss &amp; </w:t>
      </w:r>
      <w:proofErr w:type="spellStart"/>
      <w:r w:rsidRPr="009E1038">
        <w:rPr>
          <w:rFonts w:asciiTheme="minorHAnsi" w:hAnsiTheme="minorHAnsi" w:cstheme="minorHAnsi"/>
        </w:rPr>
        <w:t>Sonnemann</w:t>
      </w:r>
      <w:proofErr w:type="spellEnd"/>
      <w:r w:rsidRPr="009E1038">
        <w:rPr>
          <w:rFonts w:asciiTheme="minorHAnsi" w:hAnsiTheme="minorHAnsi" w:cstheme="minorHAnsi"/>
        </w:rPr>
        <w:t xml:space="preserve">, 2017) and educators need to address methods of delivery to stimulate engagement and generate interest within lessons (Taylor &amp; Parson, 2011). </w:t>
      </w:r>
      <w:r w:rsidRPr="009E1038">
        <w:rPr>
          <w:rFonts w:asciiTheme="minorHAnsi" w:hAnsiTheme="minorHAnsi" w:cstheme="minorHAnsi"/>
          <w:lang w:val="en-GB" w:eastAsia="en-GB"/>
        </w:rPr>
        <w:t>Past research indicates that games and activities have the potential to draw students into the learning process and encourage students to participate and become more engaged through an interactive environment (</w:t>
      </w:r>
      <w:proofErr w:type="spellStart"/>
      <w:r w:rsidRPr="009E1038">
        <w:rPr>
          <w:rFonts w:asciiTheme="minorHAnsi" w:hAnsiTheme="minorHAnsi" w:cstheme="minorHAnsi"/>
          <w:lang w:val="en-GB" w:eastAsia="en-GB"/>
        </w:rPr>
        <w:t>Gosen</w:t>
      </w:r>
      <w:proofErr w:type="spellEnd"/>
      <w:r w:rsidRPr="009E1038">
        <w:rPr>
          <w:rFonts w:asciiTheme="minorHAnsi" w:hAnsiTheme="minorHAnsi" w:cstheme="minorHAnsi"/>
          <w:lang w:val="en-GB" w:eastAsia="en-GB"/>
        </w:rPr>
        <w:t xml:space="preserve"> and </w:t>
      </w:r>
      <w:proofErr w:type="spellStart"/>
      <w:r w:rsidRPr="009E1038">
        <w:rPr>
          <w:rFonts w:asciiTheme="minorHAnsi" w:hAnsiTheme="minorHAnsi" w:cstheme="minorHAnsi"/>
          <w:lang w:val="en-GB" w:eastAsia="en-GB"/>
        </w:rPr>
        <w:t>Washbush</w:t>
      </w:r>
      <w:proofErr w:type="spellEnd"/>
      <w:r w:rsidRPr="009E1038">
        <w:rPr>
          <w:rFonts w:asciiTheme="minorHAnsi" w:hAnsiTheme="minorHAnsi" w:cstheme="minorHAnsi"/>
          <w:lang w:val="en-GB" w:eastAsia="en-GB"/>
        </w:rPr>
        <w:t xml:space="preserve">, 2004). </w:t>
      </w:r>
      <w:r w:rsidRPr="009E1038">
        <w:rPr>
          <w:rFonts w:asciiTheme="minorHAnsi" w:hAnsiTheme="minorHAnsi" w:cstheme="minorHAnsi"/>
        </w:rPr>
        <w:t xml:space="preserve">For this reason, active and creative pedagogies now play a more crucial role in our methods of delivery where educators attempt to bring lessons alive and stimulate engagement within lectures, </w:t>
      </w:r>
      <w:proofErr w:type="gramStart"/>
      <w:r w:rsidRPr="009E1038">
        <w:rPr>
          <w:rFonts w:asciiTheme="minorHAnsi" w:hAnsiTheme="minorHAnsi" w:cstheme="minorHAnsi"/>
        </w:rPr>
        <w:t>seminars</w:t>
      </w:r>
      <w:proofErr w:type="gramEnd"/>
      <w:r w:rsidRPr="009E1038">
        <w:rPr>
          <w:rFonts w:asciiTheme="minorHAnsi" w:hAnsiTheme="minorHAnsi" w:cstheme="minorHAnsi"/>
        </w:rPr>
        <w:t xml:space="preserve"> and workshops. </w:t>
      </w:r>
    </w:p>
    <w:p w14:paraId="796A7E63" w14:textId="2301137D" w:rsidR="006E0F79" w:rsidRPr="009E1038" w:rsidRDefault="006E0F79" w:rsidP="006E0F79">
      <w:pPr>
        <w:rPr>
          <w:rFonts w:asciiTheme="minorHAnsi" w:hAnsiTheme="minorHAnsi" w:cstheme="minorHAnsi"/>
        </w:rPr>
      </w:pPr>
      <w:r w:rsidRPr="009E1038">
        <w:rPr>
          <w:rFonts w:asciiTheme="minorHAnsi" w:hAnsiTheme="minorHAnsi" w:cstheme="minorHAnsi"/>
        </w:rPr>
        <w:t xml:space="preserve">When students are engaged they simply learn better, it is therefore vital that the educators create pedagogies and techniques that stimulate students’ engagement within </w:t>
      </w:r>
      <w:r w:rsidR="00106356" w:rsidRPr="009E1038">
        <w:rPr>
          <w:rFonts w:asciiTheme="minorHAnsi" w:hAnsiTheme="minorHAnsi" w:cstheme="minorHAnsi"/>
        </w:rPr>
        <w:t>21</w:t>
      </w:r>
      <w:r w:rsidR="00106356" w:rsidRPr="009E1038">
        <w:rPr>
          <w:rFonts w:asciiTheme="minorHAnsi" w:hAnsiTheme="minorHAnsi" w:cstheme="minorHAnsi"/>
          <w:vertAlign w:val="superscript"/>
        </w:rPr>
        <w:t>st</w:t>
      </w:r>
      <w:r w:rsidR="00106356" w:rsidRPr="009E1038">
        <w:rPr>
          <w:rFonts w:asciiTheme="minorHAnsi" w:hAnsiTheme="minorHAnsi" w:cstheme="minorHAnsi"/>
        </w:rPr>
        <w:t xml:space="preserve"> century </w:t>
      </w:r>
      <w:r w:rsidRPr="009E1038">
        <w:rPr>
          <w:rFonts w:asciiTheme="minorHAnsi" w:hAnsiTheme="minorHAnsi" w:cstheme="minorHAnsi"/>
        </w:rPr>
        <w:t>class</w:t>
      </w:r>
      <w:r w:rsidR="00106356" w:rsidRPr="009E1038">
        <w:rPr>
          <w:rFonts w:asciiTheme="minorHAnsi" w:hAnsiTheme="minorHAnsi" w:cstheme="minorHAnsi"/>
        </w:rPr>
        <w:t>rooms</w:t>
      </w:r>
      <w:r w:rsidRPr="009E1038">
        <w:rPr>
          <w:rFonts w:asciiTheme="minorHAnsi" w:hAnsiTheme="minorHAnsi" w:cstheme="minorHAnsi"/>
        </w:rPr>
        <w:t xml:space="preserve"> (Goss &amp; </w:t>
      </w:r>
      <w:proofErr w:type="spellStart"/>
      <w:proofErr w:type="gramStart"/>
      <w:r w:rsidRPr="009E1038">
        <w:rPr>
          <w:rFonts w:asciiTheme="minorHAnsi" w:hAnsiTheme="minorHAnsi" w:cstheme="minorHAnsi"/>
        </w:rPr>
        <w:t>Sonnemann</w:t>
      </w:r>
      <w:proofErr w:type="spellEnd"/>
      <w:r w:rsidRPr="009E1038">
        <w:rPr>
          <w:rFonts w:asciiTheme="minorHAnsi" w:hAnsiTheme="minorHAnsi" w:cstheme="minorHAnsi"/>
        </w:rPr>
        <w:t xml:space="preserve"> ,</w:t>
      </w:r>
      <w:proofErr w:type="gramEnd"/>
      <w:r w:rsidRPr="009E1038">
        <w:rPr>
          <w:rFonts w:asciiTheme="minorHAnsi" w:hAnsiTheme="minorHAnsi" w:cstheme="minorHAnsi"/>
        </w:rPr>
        <w:t xml:space="preserve"> 2017). Furthermore, it is important that lecturers try to enhance learning opportunities and foster a positive learning environment within lectures to create a positive classroom climate to motivate students (Taylor &amp; Parson 2011, Fraser, 2007)</w:t>
      </w:r>
    </w:p>
    <w:p w14:paraId="7B5556B5" w14:textId="13EC55B8" w:rsidR="004D7FFC" w:rsidRPr="009E1038" w:rsidRDefault="004D7FFC" w:rsidP="006E0F79">
      <w:pPr>
        <w:rPr>
          <w:rFonts w:asciiTheme="minorHAnsi" w:hAnsiTheme="minorHAnsi" w:cstheme="minorHAnsi"/>
        </w:rPr>
      </w:pPr>
    </w:p>
    <w:p w14:paraId="6CA11FF9" w14:textId="7C51BC3B" w:rsidR="004D7FFC" w:rsidRPr="009E1038" w:rsidRDefault="004D7FFC" w:rsidP="006E0F79">
      <w:pPr>
        <w:rPr>
          <w:rFonts w:asciiTheme="minorHAnsi" w:hAnsiTheme="minorHAnsi" w:cstheme="minorHAnsi"/>
        </w:rPr>
      </w:pPr>
      <w:r w:rsidRPr="009E1038">
        <w:rPr>
          <w:rFonts w:asciiTheme="minorHAnsi" w:hAnsiTheme="minorHAnsi" w:cstheme="minorHAnsi"/>
        </w:rPr>
        <w:t>References:</w:t>
      </w:r>
    </w:p>
    <w:p w14:paraId="6BFDB9C2" w14:textId="57D31364" w:rsidR="009E1038" w:rsidRPr="009E1038" w:rsidRDefault="009E1038" w:rsidP="009E1038">
      <w:pPr>
        <w:shd w:val="clear" w:color="auto" w:fill="FFFFFF"/>
        <w:rPr>
          <w:rFonts w:asciiTheme="minorHAnsi" w:hAnsiTheme="minorHAnsi" w:cstheme="minorHAnsi"/>
          <w:color w:val="333333"/>
          <w:lang w:val="en-GB" w:eastAsia="zh-CN"/>
        </w:rPr>
      </w:pPr>
    </w:p>
    <w:p w14:paraId="7FCC3325" w14:textId="77777777" w:rsidR="009E1038" w:rsidRPr="009E1038" w:rsidRDefault="009E1038" w:rsidP="009E1038">
      <w:pPr>
        <w:shd w:val="clear" w:color="auto" w:fill="FFFFFF"/>
        <w:rPr>
          <w:rFonts w:asciiTheme="minorHAnsi" w:hAnsiTheme="minorHAnsi" w:cstheme="minorHAnsi"/>
          <w:color w:val="333333"/>
        </w:rPr>
      </w:pPr>
      <w:r w:rsidRPr="009E1038">
        <w:rPr>
          <w:rFonts w:asciiTheme="minorHAnsi" w:hAnsiTheme="minorHAnsi" w:cstheme="minorHAnsi"/>
          <w:color w:val="333333"/>
        </w:rPr>
        <w:t>Cleaver D, Ballantyne J. Teachers’ views of constructivist theory: A qualitative study illuminating relationships between epistemological understanding and music teaching practice. </w:t>
      </w:r>
      <w:r w:rsidRPr="009E1038">
        <w:rPr>
          <w:rFonts w:asciiTheme="minorHAnsi" w:hAnsiTheme="minorHAnsi" w:cstheme="minorHAnsi"/>
          <w:i/>
          <w:iCs/>
          <w:color w:val="333333"/>
        </w:rPr>
        <w:t>International Journal of Music Education</w:t>
      </w:r>
      <w:r w:rsidRPr="009E1038">
        <w:rPr>
          <w:rFonts w:asciiTheme="minorHAnsi" w:hAnsiTheme="minorHAnsi" w:cstheme="minorHAnsi"/>
          <w:color w:val="333333"/>
        </w:rPr>
        <w:t>. 2014;32(2):228-241. doi:</w:t>
      </w:r>
      <w:hyperlink r:id="rId4" w:history="1">
        <w:r w:rsidRPr="009E1038">
          <w:rPr>
            <w:rStyle w:val="Hyperlink"/>
            <w:rFonts w:asciiTheme="minorHAnsi" w:hAnsiTheme="minorHAnsi" w:cstheme="minorHAnsi"/>
            <w:color w:val="006ACC"/>
          </w:rPr>
          <w:t>10.1177/0255761413508066</w:t>
        </w:r>
      </w:hyperlink>
    </w:p>
    <w:p w14:paraId="2F4C9304" w14:textId="77777777" w:rsidR="00EA21D7" w:rsidRPr="009E1038" w:rsidRDefault="00EA21D7" w:rsidP="006E0F79">
      <w:pPr>
        <w:rPr>
          <w:rFonts w:asciiTheme="minorHAnsi" w:hAnsiTheme="minorHAnsi" w:cstheme="minorHAnsi"/>
        </w:rPr>
      </w:pPr>
    </w:p>
    <w:p w14:paraId="0A914235" w14:textId="77777777" w:rsidR="0061546B" w:rsidRPr="009E1038" w:rsidRDefault="0061546B" w:rsidP="0061546B">
      <w:pPr>
        <w:ind w:right="-46"/>
        <w:rPr>
          <w:rFonts w:asciiTheme="minorHAnsi" w:hAnsiTheme="minorHAnsi" w:cstheme="minorHAnsi"/>
        </w:rPr>
      </w:pPr>
      <w:r w:rsidRPr="009E1038">
        <w:rPr>
          <w:rFonts w:asciiTheme="minorHAnsi" w:hAnsiTheme="minorHAnsi" w:cstheme="minorHAnsi"/>
        </w:rPr>
        <w:t xml:space="preserve">Fraser, B.J. (2007), classroom learning environments. In handbook of research on science education, edited by S.K. Abell and G. </w:t>
      </w:r>
      <w:proofErr w:type="spellStart"/>
      <w:r w:rsidRPr="009E1038">
        <w:rPr>
          <w:rFonts w:asciiTheme="minorHAnsi" w:hAnsiTheme="minorHAnsi" w:cstheme="minorHAnsi"/>
        </w:rPr>
        <w:t>Leadwerman</w:t>
      </w:r>
      <w:proofErr w:type="spellEnd"/>
      <w:r w:rsidRPr="009E1038">
        <w:rPr>
          <w:rFonts w:asciiTheme="minorHAnsi" w:hAnsiTheme="minorHAnsi" w:cstheme="minorHAnsi"/>
        </w:rPr>
        <w:t xml:space="preserve">, 103-104. Mahwah, NJ: Lawrence Erlbaum Associates </w:t>
      </w:r>
    </w:p>
    <w:p w14:paraId="37837A85" w14:textId="77777777" w:rsidR="00192ED1" w:rsidRPr="009E1038" w:rsidRDefault="00192ED1" w:rsidP="006E0F79">
      <w:pPr>
        <w:rPr>
          <w:rFonts w:asciiTheme="minorHAnsi" w:hAnsiTheme="minorHAnsi" w:cstheme="minorHAnsi"/>
        </w:rPr>
      </w:pPr>
    </w:p>
    <w:p w14:paraId="127C67F5" w14:textId="545220C6" w:rsidR="004D7FFC" w:rsidRPr="009E1038" w:rsidRDefault="004D7FFC" w:rsidP="004D7FFC">
      <w:pPr>
        <w:ind w:right="-46"/>
        <w:rPr>
          <w:rFonts w:asciiTheme="minorHAnsi" w:hAnsiTheme="minorHAnsi" w:cstheme="minorHAnsi"/>
          <w:color w:val="006ACC"/>
          <w:u w:val="single"/>
          <w:shd w:val="clear" w:color="auto" w:fill="FFFFFF"/>
        </w:rPr>
      </w:pPr>
      <w:proofErr w:type="spellStart"/>
      <w:r w:rsidRPr="009E1038">
        <w:rPr>
          <w:rFonts w:asciiTheme="minorHAnsi" w:hAnsiTheme="minorHAnsi" w:cstheme="minorHAnsi"/>
          <w:shd w:val="clear" w:color="auto" w:fill="FFFFFF"/>
        </w:rPr>
        <w:lastRenderedPageBreak/>
        <w:t>Gosen</w:t>
      </w:r>
      <w:proofErr w:type="spellEnd"/>
      <w:r w:rsidRPr="009E1038">
        <w:rPr>
          <w:rFonts w:asciiTheme="minorHAnsi" w:hAnsiTheme="minorHAnsi" w:cstheme="minorHAnsi"/>
          <w:shd w:val="clear" w:color="auto" w:fill="FFFFFF"/>
        </w:rPr>
        <w:t xml:space="preserve">. J. &amp; </w:t>
      </w:r>
      <w:proofErr w:type="spellStart"/>
      <w:r w:rsidRPr="009E1038">
        <w:rPr>
          <w:rFonts w:asciiTheme="minorHAnsi" w:hAnsiTheme="minorHAnsi" w:cstheme="minorHAnsi"/>
          <w:shd w:val="clear" w:color="auto" w:fill="FFFFFF"/>
        </w:rPr>
        <w:t>Washbush</w:t>
      </w:r>
      <w:proofErr w:type="spellEnd"/>
      <w:r w:rsidRPr="009E1038">
        <w:rPr>
          <w:rFonts w:asciiTheme="minorHAnsi" w:hAnsiTheme="minorHAnsi" w:cstheme="minorHAnsi"/>
          <w:shd w:val="clear" w:color="auto" w:fill="FFFFFF"/>
        </w:rPr>
        <w:t>. J. (2004) Learning Effectiveness. </w:t>
      </w:r>
      <w:r w:rsidRPr="009E1038">
        <w:rPr>
          <w:rFonts w:asciiTheme="minorHAnsi" w:hAnsiTheme="minorHAnsi" w:cstheme="minorHAnsi"/>
          <w:i/>
          <w:iCs/>
          <w:shd w:val="clear" w:color="auto" w:fill="FFFFFF"/>
        </w:rPr>
        <w:t>Simulation &amp; Gaming</w:t>
      </w:r>
      <w:r w:rsidRPr="009E1038">
        <w:rPr>
          <w:rFonts w:asciiTheme="minorHAnsi" w:hAnsiTheme="minorHAnsi" w:cstheme="minorHAnsi"/>
          <w:shd w:val="clear" w:color="auto" w:fill="FFFFFF"/>
        </w:rPr>
        <w:t>, </w:t>
      </w:r>
      <w:r w:rsidRPr="009E1038">
        <w:rPr>
          <w:rFonts w:asciiTheme="minorHAnsi" w:hAnsiTheme="minorHAnsi" w:cstheme="minorHAnsi"/>
          <w:i/>
          <w:iCs/>
          <w:shd w:val="clear" w:color="auto" w:fill="FFFFFF"/>
        </w:rPr>
        <w:t>35</w:t>
      </w:r>
      <w:r w:rsidRPr="009E1038">
        <w:rPr>
          <w:rFonts w:asciiTheme="minorHAnsi" w:hAnsiTheme="minorHAnsi" w:cstheme="minorHAnsi"/>
          <w:shd w:val="clear" w:color="auto" w:fill="FFFFFF"/>
        </w:rPr>
        <w:t xml:space="preserve">(2), 270 – 293 </w:t>
      </w:r>
      <w:hyperlink r:id="rId5" w:history="1">
        <w:r w:rsidRPr="009E1038">
          <w:rPr>
            <w:rFonts w:asciiTheme="minorHAnsi" w:hAnsiTheme="minorHAnsi" w:cstheme="minorHAnsi"/>
            <w:color w:val="006ACC"/>
            <w:u w:val="single"/>
            <w:shd w:val="clear" w:color="auto" w:fill="FFFFFF"/>
          </w:rPr>
          <w:t>https://doi.org/10.1177/1046878104263544</w:t>
        </w:r>
      </w:hyperlink>
    </w:p>
    <w:p w14:paraId="6DC02C0F" w14:textId="77777777" w:rsidR="00A704AA" w:rsidRPr="009E1038" w:rsidRDefault="00A704AA" w:rsidP="004D7FFC">
      <w:pPr>
        <w:ind w:right="-46"/>
        <w:rPr>
          <w:rStyle w:val="Hyperlink"/>
          <w:rFonts w:asciiTheme="minorHAnsi" w:hAnsiTheme="minorHAnsi" w:cstheme="minorHAnsi"/>
          <w:shd w:val="clear" w:color="auto" w:fill="FFFFFF"/>
        </w:rPr>
      </w:pPr>
    </w:p>
    <w:p w14:paraId="5156D16F" w14:textId="6A9B06DA" w:rsidR="00A704AA" w:rsidRPr="009E1038" w:rsidRDefault="00A704AA" w:rsidP="00A704AA">
      <w:pPr>
        <w:ind w:right="-46"/>
        <w:rPr>
          <w:rStyle w:val="Hyperlink"/>
          <w:rFonts w:asciiTheme="minorHAnsi" w:hAnsiTheme="minorHAnsi" w:cstheme="minorHAnsi"/>
          <w:bCs/>
          <w:lang w:val="fr-FR"/>
        </w:rPr>
      </w:pPr>
      <w:r w:rsidRPr="009E1038">
        <w:rPr>
          <w:rFonts w:asciiTheme="minorHAnsi" w:hAnsiTheme="minorHAnsi" w:cstheme="minorHAnsi"/>
        </w:rPr>
        <w:t xml:space="preserve">Goss, P. &amp; </w:t>
      </w:r>
      <w:proofErr w:type="spellStart"/>
      <w:r w:rsidRPr="009E1038">
        <w:rPr>
          <w:rFonts w:asciiTheme="minorHAnsi" w:hAnsiTheme="minorHAnsi" w:cstheme="minorHAnsi"/>
        </w:rPr>
        <w:t>Sonneemann</w:t>
      </w:r>
      <w:proofErr w:type="spellEnd"/>
      <w:r w:rsidRPr="009E1038">
        <w:rPr>
          <w:rFonts w:asciiTheme="minorHAnsi" w:hAnsiTheme="minorHAnsi" w:cstheme="minorHAnsi"/>
        </w:rPr>
        <w:t xml:space="preserve">, J. (2017), </w:t>
      </w:r>
      <w:r w:rsidRPr="009E1038">
        <w:rPr>
          <w:rFonts w:asciiTheme="minorHAnsi" w:hAnsiTheme="minorHAnsi" w:cstheme="minorHAnsi"/>
          <w:i/>
        </w:rPr>
        <w:t>Creating classrooms that improve learning</w:t>
      </w:r>
      <w:r w:rsidRPr="009E1038">
        <w:rPr>
          <w:rFonts w:asciiTheme="minorHAnsi" w:hAnsiTheme="minorHAnsi" w:cstheme="minorHAnsi"/>
        </w:rPr>
        <w:t xml:space="preserve">. </w:t>
      </w:r>
      <w:proofErr w:type="spellStart"/>
      <w:r w:rsidRPr="009E1038">
        <w:rPr>
          <w:rFonts w:asciiTheme="minorHAnsi" w:hAnsiTheme="minorHAnsi" w:cstheme="minorHAnsi"/>
          <w:lang w:val="fr-FR"/>
        </w:rPr>
        <w:t>Grattan</w:t>
      </w:r>
      <w:proofErr w:type="spellEnd"/>
      <w:r w:rsidRPr="009E1038">
        <w:rPr>
          <w:rFonts w:asciiTheme="minorHAnsi" w:hAnsiTheme="minorHAnsi" w:cstheme="minorHAnsi"/>
          <w:lang w:val="fr-FR"/>
        </w:rPr>
        <w:t xml:space="preserve"> Institute </w:t>
      </w:r>
      <w:hyperlink r:id="rId6" w:history="1">
        <w:r w:rsidRPr="009E1038">
          <w:rPr>
            <w:rStyle w:val="Hyperlink"/>
            <w:rFonts w:asciiTheme="minorHAnsi" w:hAnsiTheme="minorHAnsi" w:cstheme="minorHAnsi"/>
            <w:bCs/>
            <w:lang w:val="fr-FR"/>
          </w:rPr>
          <w:t>https://grattan.edu.au/wp-content/uploads/2017/02/Engaging-students-creating-classrooms-that-improve-learning.pdf</w:t>
        </w:r>
      </w:hyperlink>
    </w:p>
    <w:p w14:paraId="5862B6EE" w14:textId="77777777" w:rsidR="00DE25D8" w:rsidRPr="009E1038" w:rsidRDefault="00DE25D8" w:rsidP="00A704AA">
      <w:pPr>
        <w:ind w:right="-46"/>
        <w:rPr>
          <w:rStyle w:val="Hyperlink"/>
          <w:rFonts w:asciiTheme="minorHAnsi" w:hAnsiTheme="minorHAnsi" w:cstheme="minorHAnsi"/>
          <w:bCs/>
          <w:lang w:val="fr-FR"/>
        </w:rPr>
      </w:pPr>
    </w:p>
    <w:p w14:paraId="001250AC" w14:textId="77777777" w:rsidR="00DE25D8" w:rsidRPr="009E1038" w:rsidRDefault="00DE25D8" w:rsidP="00DE25D8">
      <w:pPr>
        <w:rPr>
          <w:rStyle w:val="Hyperlink"/>
          <w:rFonts w:asciiTheme="minorHAnsi" w:hAnsiTheme="minorHAnsi" w:cstheme="minorHAnsi"/>
          <w:lang w:val="en-GB"/>
        </w:rPr>
      </w:pPr>
      <w:r w:rsidRPr="009E1038">
        <w:rPr>
          <w:rFonts w:asciiTheme="minorHAnsi" w:hAnsiTheme="minorHAnsi" w:cstheme="minorHAnsi"/>
          <w:color w:val="000000" w:themeColor="text1"/>
          <w:lang w:val="en-GB"/>
        </w:rPr>
        <w:t xml:space="preserve">Taylor, L. &amp; Parsons, J. (2011). Improving Student Engagement. </w:t>
      </w:r>
      <w:r w:rsidRPr="009E1038">
        <w:rPr>
          <w:rFonts w:asciiTheme="minorHAnsi" w:hAnsiTheme="minorHAnsi" w:cstheme="minorHAnsi"/>
          <w:i/>
          <w:iCs/>
          <w:color w:val="000000" w:themeColor="text1"/>
          <w:lang w:val="en-GB"/>
        </w:rPr>
        <w:t>Current Issues in Education</w:t>
      </w:r>
      <w:r w:rsidRPr="009E1038">
        <w:rPr>
          <w:rFonts w:asciiTheme="minorHAnsi" w:hAnsiTheme="minorHAnsi" w:cstheme="minorHAnsi"/>
          <w:color w:val="000000" w:themeColor="text1"/>
          <w:lang w:val="en-GB"/>
        </w:rPr>
        <w:t xml:space="preserve">,14(1). Retrieved from </w:t>
      </w:r>
      <w:hyperlink r:id="rId7" w:history="1">
        <w:r w:rsidRPr="009E1038">
          <w:rPr>
            <w:rStyle w:val="Hyperlink"/>
            <w:rFonts w:asciiTheme="minorHAnsi" w:hAnsiTheme="minorHAnsi" w:cstheme="minorHAnsi"/>
            <w:lang w:val="en-GB"/>
          </w:rPr>
          <w:t>http://cie.asu.edu/</w:t>
        </w:r>
      </w:hyperlink>
    </w:p>
    <w:p w14:paraId="59AD94E6" w14:textId="77777777" w:rsidR="00DE25D8" w:rsidRPr="009E1038" w:rsidRDefault="00DE25D8" w:rsidP="00DE25D8">
      <w:pPr>
        <w:rPr>
          <w:rStyle w:val="Hyperlink"/>
          <w:rFonts w:asciiTheme="minorHAnsi" w:hAnsiTheme="minorHAnsi" w:cstheme="minorHAnsi"/>
          <w:lang w:val="en-GB"/>
        </w:rPr>
      </w:pPr>
    </w:p>
    <w:p w14:paraId="73362128" w14:textId="77777777" w:rsidR="00DE25D8" w:rsidRPr="009E1038" w:rsidRDefault="00DE25D8" w:rsidP="00DE25D8">
      <w:pPr>
        <w:rPr>
          <w:rFonts w:asciiTheme="minorHAnsi" w:hAnsiTheme="minorHAnsi" w:cstheme="minorHAnsi"/>
        </w:rPr>
      </w:pPr>
      <w:r w:rsidRPr="009E1038">
        <w:rPr>
          <w:rFonts w:asciiTheme="minorHAnsi" w:hAnsiTheme="minorHAnsi" w:cstheme="minorHAnsi"/>
        </w:rPr>
        <w:t>Taber, K. (2013) Classroom-based research and evidence-based practice: An introduction.</w:t>
      </w:r>
    </w:p>
    <w:p w14:paraId="7EA2EEB1" w14:textId="01A5A16E" w:rsidR="00DE25D8" w:rsidRPr="009E1038" w:rsidRDefault="00DE25D8" w:rsidP="00DE25D8">
      <w:pPr>
        <w:rPr>
          <w:rStyle w:val="Hyperlink"/>
          <w:rFonts w:asciiTheme="minorHAnsi" w:hAnsiTheme="minorHAnsi" w:cstheme="minorHAnsi"/>
          <w:lang w:val="en-GB"/>
        </w:rPr>
      </w:pPr>
      <w:r w:rsidRPr="009E1038">
        <w:rPr>
          <w:rFonts w:asciiTheme="minorHAnsi" w:hAnsiTheme="minorHAnsi" w:cstheme="minorHAnsi"/>
        </w:rPr>
        <w:t>Sage Publications Limited.</w:t>
      </w:r>
    </w:p>
    <w:p w14:paraId="125257ED" w14:textId="77777777" w:rsidR="0076610C" w:rsidRDefault="0076610C"/>
    <w:sectPr w:rsidR="00766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79"/>
    <w:rsid w:val="00106356"/>
    <w:rsid w:val="00192ED1"/>
    <w:rsid w:val="002C1174"/>
    <w:rsid w:val="00335F55"/>
    <w:rsid w:val="00397FC8"/>
    <w:rsid w:val="003C18CA"/>
    <w:rsid w:val="003D0416"/>
    <w:rsid w:val="004D7FFC"/>
    <w:rsid w:val="0061546B"/>
    <w:rsid w:val="006E0F79"/>
    <w:rsid w:val="007241A6"/>
    <w:rsid w:val="0076610C"/>
    <w:rsid w:val="00800595"/>
    <w:rsid w:val="008E7B92"/>
    <w:rsid w:val="009E1038"/>
    <w:rsid w:val="00A704AA"/>
    <w:rsid w:val="00B34BD9"/>
    <w:rsid w:val="00DE25D8"/>
    <w:rsid w:val="00EA21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53C2"/>
  <w15:chartTrackingRefBased/>
  <w15:docId w15:val="{6A371916-FA3A-485D-A4AD-111CD08E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F79"/>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48322">
      <w:bodyDiv w:val="1"/>
      <w:marLeft w:val="0"/>
      <w:marRight w:val="0"/>
      <w:marTop w:val="0"/>
      <w:marBottom w:val="0"/>
      <w:divBdr>
        <w:top w:val="none" w:sz="0" w:space="0" w:color="auto"/>
        <w:left w:val="none" w:sz="0" w:space="0" w:color="auto"/>
        <w:bottom w:val="none" w:sz="0" w:space="0" w:color="auto"/>
        <w:right w:val="none" w:sz="0" w:space="0" w:color="auto"/>
      </w:divBdr>
      <w:divsChild>
        <w:div w:id="844710314">
          <w:marLeft w:val="0"/>
          <w:marRight w:val="0"/>
          <w:marTop w:val="0"/>
          <w:marBottom w:val="0"/>
          <w:divBdr>
            <w:top w:val="none" w:sz="0" w:space="0" w:color="auto"/>
            <w:left w:val="none" w:sz="0" w:space="0" w:color="auto"/>
            <w:bottom w:val="none" w:sz="0" w:space="0" w:color="auto"/>
            <w:right w:val="none" w:sz="0" w:space="0" w:color="auto"/>
          </w:divBdr>
        </w:div>
        <w:div w:id="947738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ie.a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attan.edu.au/wp-content/uploads/2017/02/Engaging-students-creating-classrooms-that-improve-learning.pdf" TargetMode="External"/><Relationship Id="rId5" Type="http://schemas.openxmlformats.org/officeDocument/2006/relationships/hyperlink" Target="https://doi.org/10.1177/1046878104263544" TargetMode="External"/><Relationship Id="rId4" Type="http://schemas.openxmlformats.org/officeDocument/2006/relationships/hyperlink" Target="https://doi.org/10.1177/025576141350806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Breslin</dc:creator>
  <cp:keywords/>
  <dc:description/>
  <cp:lastModifiedBy>Mark Breslin</cp:lastModifiedBy>
  <cp:revision>16</cp:revision>
  <dcterms:created xsi:type="dcterms:W3CDTF">2021-09-30T10:00:00Z</dcterms:created>
  <dcterms:modified xsi:type="dcterms:W3CDTF">2021-09-30T14:16:00Z</dcterms:modified>
</cp:coreProperties>
</file>