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A6C2B" w14:textId="77777777" w:rsidR="00767E66" w:rsidRPr="007020AA" w:rsidRDefault="0033453E">
      <w:pPr>
        <w:rPr>
          <w:b/>
          <w:sz w:val="28"/>
          <w:szCs w:val="28"/>
        </w:rPr>
      </w:pPr>
      <w:bookmarkStart w:id="0" w:name="_GoBack"/>
      <w:bookmarkEnd w:id="0"/>
      <w:r>
        <w:t xml:space="preserve">                                                                                                                                                                                                                                                                                                                                                                                                                                                                                                                                                                                                                                                                                                                                                                                                                                                                                                                                                                                                                                                                                                                                                                                                                                                                                                                                                                                                                                                                                                                                                                                                                                                                                                                                                                                                                                                                                                                                                                                                                                                                                                                                                                                                                                                                                                                                                                                                                                                                                                                                                                                                                                                                                                                                                                                                                                                                                                        </w:t>
      </w:r>
      <w:r w:rsidR="0094287E" w:rsidRPr="007020AA">
        <w:rPr>
          <w:b/>
          <w:sz w:val="28"/>
          <w:szCs w:val="28"/>
        </w:rPr>
        <w:t>Engagement of UK Life Science Academics with the Scholarship of Teaching and Learning: Threshold Concepts in Academic Practice?</w:t>
      </w:r>
    </w:p>
    <w:p w14:paraId="3A0463DF" w14:textId="77777777" w:rsidR="005E3287" w:rsidRDefault="0094287E">
      <w:r>
        <w:t>Anne Tierney,</w:t>
      </w:r>
      <w:r w:rsidR="005E3287">
        <w:t xml:space="preserve"> School of Education,</w:t>
      </w:r>
      <w:r>
        <w:t xml:space="preserve"> University of Durham</w:t>
      </w:r>
      <w:r w:rsidR="005E3287">
        <w:t>, a.m.tierney@durham.ac.uk</w:t>
      </w:r>
    </w:p>
    <w:p w14:paraId="557828F8" w14:textId="77777777" w:rsidR="0094287E" w:rsidRDefault="0094287E"/>
    <w:p w14:paraId="7DC88C74" w14:textId="77777777" w:rsidR="005E3287" w:rsidRPr="005E3287" w:rsidRDefault="005E3287" w:rsidP="00E64862">
      <w:pPr>
        <w:spacing w:line="480" w:lineRule="auto"/>
        <w:rPr>
          <w:b/>
        </w:rPr>
      </w:pPr>
      <w:r w:rsidRPr="005E3287">
        <w:rPr>
          <w:b/>
        </w:rPr>
        <w:t>Abstract</w:t>
      </w:r>
    </w:p>
    <w:p w14:paraId="11C14098" w14:textId="77777777" w:rsidR="00432503" w:rsidRDefault="0094287E" w:rsidP="00E64862">
      <w:pPr>
        <w:spacing w:line="480" w:lineRule="auto"/>
      </w:pPr>
      <w:r>
        <w:t>Engagement with the Scholarship of Teaching and Learning (SoTL) is increasingly becoming a requirement for UK academics. This engagement may take the form of a formal qualification in teaching in higher education, or may be a continuing professional development requirement</w:t>
      </w:r>
      <w:r w:rsidR="005E0DA7">
        <w:t xml:space="preserve"> (CPD)</w:t>
      </w:r>
      <w:r w:rsidR="00492D5F">
        <w:t xml:space="preserve">. Academics have a range of opportunities to follow a teaching focused career path; </w:t>
      </w:r>
      <w:r>
        <w:t>notably for the increasing numbers of “Teaching-only” academics employed by UK institutions to cover undergraduate teaching and course administration</w:t>
      </w:r>
      <w:r w:rsidR="00492D5F">
        <w:t>, but also for those academics who find themselves increasingly drawn to pedagogic research</w:t>
      </w:r>
      <w:r>
        <w:t xml:space="preserve">. However, how these individuals engage with SoTL may be confusing, and present a number of challenges, in addition to those already present in the career of an academic. For Life Scientists in particular, engagement with SoTL may offer </w:t>
      </w:r>
      <w:r w:rsidR="005E0DA7">
        <w:t xml:space="preserve">particular </w:t>
      </w:r>
      <w:r>
        <w:t>challenges as individuals tackle material out</w:t>
      </w:r>
      <w:r w:rsidR="00492D5F">
        <w:t xml:space="preserve"> </w:t>
      </w:r>
      <w:r>
        <w:t>with their disciplinary expertise.</w:t>
      </w:r>
      <w:r w:rsidR="00345A37">
        <w:t xml:space="preserve"> Language, research methodology, confidence in data gathering,</w:t>
      </w:r>
      <w:r w:rsidR="00501D5F">
        <w:t xml:space="preserve"> sense of </w:t>
      </w:r>
      <w:r w:rsidR="009C1F6B">
        <w:t>identity</w:t>
      </w:r>
      <w:r w:rsidR="00501D5F">
        <w:t>,</w:t>
      </w:r>
      <w:r w:rsidR="00345A37">
        <w:t xml:space="preserve"> may </w:t>
      </w:r>
      <w:r w:rsidR="008B4DC6">
        <w:t xml:space="preserve">present barriers to engagement </w:t>
      </w:r>
      <w:r w:rsidR="00345A37">
        <w:t>with SoTL, to academics who are more c</w:t>
      </w:r>
      <w:r w:rsidR="008B4DC6">
        <w:t>omfortable within a positivist</w:t>
      </w:r>
      <w:r w:rsidR="00345A37">
        <w:t>, quantitative paradigm.</w:t>
      </w:r>
      <w:r w:rsidR="005E0DA7">
        <w:t xml:space="preserve"> While Threshold Concepts</w:t>
      </w:r>
      <w:r w:rsidR="00432503">
        <w:t xml:space="preserve"> </w:t>
      </w:r>
      <w:r w:rsidR="00432503">
        <w:fldChar w:fldCharType="begin"/>
      </w:r>
      <w:r w:rsidR="009B054C">
        <w:instrText xml:space="preserve"> ADDIN ZOTERO_ITEM CSL_CITATION {"citationID":"LZgRuCwb","properties":{"formattedCitation":"(Meyer &amp; Land, 2003)","plainCitation":"(Meyer &amp; Land, 2003)"},"citationItems":[{"id":14,"uris":["http://zotero.org/users/386570/items/2SHX6QDS"],"uri":["http://zotero.org/users/386570/items/2SHX6QDS"],"itemData":{"id":14,"type":"chapter","title":"Threshold concepts and troublesome knowledge: linkages to ways of thinking and practising within the disciplines","container-title":"Improving student learning: Improving student learning theory and practice - Ten Years On.","publisher":"Oxford Centre for Staff and Learning Development","publisher-place":"Oxford","edition":"Rust, C. (Ed)","event-place":"Oxford","author":[{"family":"Meyer","given":"Jan H. F."},{"family":"Land","given":"Ray"}],"issued":{"date-parts":[["2003"]]}}}],"schema":"https://github.com/citation-style-language/schema/raw/master/csl-citation.json"} </w:instrText>
      </w:r>
      <w:r w:rsidR="00432503">
        <w:fldChar w:fldCharType="separate"/>
      </w:r>
      <w:r w:rsidR="00432503" w:rsidRPr="00432503">
        <w:rPr>
          <w:rFonts w:ascii="Calibri" w:hAnsi="Calibri" w:cs="Calibri"/>
        </w:rPr>
        <w:t>(Meyer &amp; Land, 2003)</w:t>
      </w:r>
      <w:r w:rsidR="00432503">
        <w:fldChar w:fldCharType="end"/>
      </w:r>
      <w:r w:rsidR="005E0DA7">
        <w:t xml:space="preserve"> are generally associated with student learning</w:t>
      </w:r>
      <w:r w:rsidR="00492D5F">
        <w:t xml:space="preserve"> within</w:t>
      </w:r>
      <w:r w:rsidR="00444628">
        <w:t xml:space="preserve"> discipline</w:t>
      </w:r>
      <w:r w:rsidR="00492D5F">
        <w:t>s, if</w:t>
      </w:r>
      <w:r w:rsidR="00432503">
        <w:t xml:space="preserve"> engagement with So</w:t>
      </w:r>
      <w:r w:rsidR="005E0DA7">
        <w:t>TL and CPD</w:t>
      </w:r>
      <w:r w:rsidR="00492D5F">
        <w:t xml:space="preserve"> is viewed</w:t>
      </w:r>
      <w:r w:rsidR="005E0DA7">
        <w:t xml:space="preserve"> as Lifelong Learning, and the academic as student, we can explore how academics face the challenges of engagement with the field of Educational Research.</w:t>
      </w:r>
      <w:r w:rsidR="001C66E0">
        <w:t xml:space="preserve"> Indeed, for academics considered to be expert in their field, taking on the role of student may be troublesome in itself, with the individual being required to acknowledge their lack of expertise in the area of educational research. </w:t>
      </w:r>
    </w:p>
    <w:p w14:paraId="3DD7C3D6" w14:textId="77777777" w:rsidR="001C66E0" w:rsidRDefault="005E3287" w:rsidP="00432503">
      <w:pPr>
        <w:spacing w:line="480" w:lineRule="auto"/>
      </w:pPr>
      <w:r>
        <w:t>In this study, twenty-one</w:t>
      </w:r>
      <w:r w:rsidR="00444628">
        <w:t xml:space="preserve"> UK Life Science academics</w:t>
      </w:r>
      <w:r w:rsidR="00E700AA">
        <w:t xml:space="preserve"> were asked about their understanding of, and engagement with SoTL. </w:t>
      </w:r>
      <w:r>
        <w:t>I</w:t>
      </w:r>
      <w:r w:rsidR="00C61235">
        <w:t>nterviews revealed a range of attitudes towards engagement with SoTL</w:t>
      </w:r>
      <w:r w:rsidR="000B0F04">
        <w:t xml:space="preserve">, and </w:t>
      </w:r>
      <w:r w:rsidR="000B0F04">
        <w:lastRenderedPageBreak/>
        <w:t>a number of areas which could be considered to be Threshold Concepts.</w:t>
      </w:r>
      <w:r w:rsidR="009C1F6B">
        <w:t xml:space="preserve"> These areas of interest, and the extent to </w:t>
      </w:r>
      <w:r w:rsidR="00E64862">
        <w:t xml:space="preserve">which they fulfil the criteria to become </w:t>
      </w:r>
      <w:r w:rsidR="009C1F6B">
        <w:t>Th</w:t>
      </w:r>
      <w:r w:rsidR="006D2CC2">
        <w:t>reshold Co</w:t>
      </w:r>
      <w:r w:rsidR="001C66E0">
        <w:t>ncepts is explored in this study.</w:t>
      </w:r>
      <w:r w:rsidR="006D2CC2">
        <w:t xml:space="preserve"> The findings are significant in that they indicate the difficulties and challenges faced by academics attem</w:t>
      </w:r>
      <w:r w:rsidR="00E64862">
        <w:t>pting to engage with a paradigm</w:t>
      </w:r>
      <w:r w:rsidR="006D2CC2">
        <w:t xml:space="preserve"> out</w:t>
      </w:r>
      <w:r>
        <w:t xml:space="preserve"> </w:t>
      </w:r>
      <w:r w:rsidR="006D2CC2">
        <w:t>with their disciplinary expertise, the effort expended in successf</w:t>
      </w:r>
      <w:r w:rsidR="00444628">
        <w:t xml:space="preserve">ul engagement, and the </w:t>
      </w:r>
      <w:r w:rsidR="001C66E0">
        <w:t>transformations that occur</w:t>
      </w:r>
      <w:r w:rsidR="00432503">
        <w:t xml:space="preserve">, </w:t>
      </w:r>
      <w:r w:rsidR="00901B12">
        <w:t>showing the development of</w:t>
      </w:r>
      <w:r w:rsidR="00432503">
        <w:t xml:space="preserve"> engagement by reading literature, to actively carrying out research projects and writing papers</w:t>
      </w:r>
      <w:r w:rsidR="001C66E0">
        <w:t xml:space="preserve">. The study also points towards </w:t>
      </w:r>
      <w:r w:rsidR="00432503">
        <w:t xml:space="preserve">areas where support </w:t>
      </w:r>
      <w:r w:rsidR="001C66E0">
        <w:t>can be give</w:t>
      </w:r>
      <w:r w:rsidR="00432503">
        <w:t>n to academics engaging in SoTL to help encourage this development.</w:t>
      </w:r>
    </w:p>
    <w:p w14:paraId="1980C090" w14:textId="77777777" w:rsidR="006851DA" w:rsidRDefault="006851DA">
      <w:r>
        <w:br w:type="page"/>
      </w:r>
    </w:p>
    <w:p w14:paraId="7B68034A" w14:textId="77777777" w:rsidR="00492D5F" w:rsidRDefault="00492D5F" w:rsidP="005E3287">
      <w:pPr>
        <w:spacing w:line="480" w:lineRule="auto"/>
      </w:pPr>
      <w:r>
        <w:rPr>
          <w:b/>
        </w:rPr>
        <w:lastRenderedPageBreak/>
        <w:t>Engagement with the Scholarship of Teaching and Learning</w:t>
      </w:r>
    </w:p>
    <w:p w14:paraId="605329D0" w14:textId="77777777" w:rsidR="00492D5F" w:rsidRPr="00492D5F" w:rsidRDefault="00492D5F" w:rsidP="005E3287">
      <w:pPr>
        <w:spacing w:line="480" w:lineRule="auto"/>
      </w:pPr>
      <w:r>
        <w:t xml:space="preserve">In the UK, it is estimated that around 25% of academics can be categorised as “Teaching-only” </w:t>
      </w:r>
      <w:r>
        <w:fldChar w:fldCharType="begin"/>
      </w:r>
      <w:r>
        <w:instrText xml:space="preserve"> ADDIN ZOTERO_ITEM CSL_CITATION {"citationID":"1l0l1jqt7j","properties":{"formattedCitation":"(Times Higher Education, 2008)","plainCitation":"(Times Higher Education, 2008)"},"citationItems":[{"id":73,"uris":["http://zotero.org/users/386570/items/98NX7SD9"],"uri":["http://zotero.org/users/386570/items/98NX7SD9"],"itemData":{"id":73,"type":"webpage","title":"A lesser breed?","container-title":"Times Higher Education","abstract":"Teaching-only staff were once widely deemed unworthy of the name 'academic'. But one in four UK academics is now labelled so, and the proportion is expected to grow. Esther Oxford considers the implications.","URL":"http://www.timeshighereducation.co.uk/features/a-lesser-breed/400361.article","author":[{"family":"Times Higher Education","given":""}],"issued":{"date-parts":[["2008",1,3]]},"accessed":{"date-parts":[["2013",4,21]]}}}],"schema":"https://github.com/citation-style-language/schema/raw/master/csl-citation.json"} </w:instrText>
      </w:r>
      <w:r>
        <w:fldChar w:fldCharType="separate"/>
      </w:r>
      <w:r w:rsidRPr="00492D5F">
        <w:rPr>
          <w:rFonts w:ascii="Calibri" w:hAnsi="Calibri"/>
        </w:rPr>
        <w:t>(Times Higher Education, 2008)</w:t>
      </w:r>
      <w:r>
        <w:fldChar w:fldCharType="end"/>
      </w:r>
      <w:r>
        <w:t>, with no signs of this trend reversing. Academics employed specifically to concentrate on teaching, as well as those who choose to concentrate on teaching and learning are emerging as a new academic identity</w:t>
      </w:r>
      <w:r w:rsidR="00633C7C">
        <w:t>: the Teaching-focused academic. In this paper, therefore, unless indicated otherwise, the term “Teaching-focused academic” will encompass both groups.</w:t>
      </w:r>
      <w:r>
        <w:t xml:space="preserve"> In order to maintain the identity of “academic”, many of these individuals are obliged to engage with “The Scholarship of Teaching and Learning” </w:t>
      </w:r>
      <w:r>
        <w:fldChar w:fldCharType="begin"/>
      </w:r>
      <w:r w:rsidR="009B054C">
        <w:instrText xml:space="preserve"> ADDIN ZOTERO_ITEM CSL_CITATION {"citationID":"7e6fopbi8","properties":{"formattedCitation":"(Boyer, 1990; Hutchings &amp; Shulman, 1999)","plainCitation":"(Boyer, 1990; Hutchings &amp; Shulman, 1999)"},"citationItems":[{"id":3,"uris":["http://zotero.org/users/386570/items/23396MAS"],"uri":["http://zotero.org/users/386570/items/23396MAS"],"itemData":{"id":3,"type":"book","title":"Scholarship reconsidered: Priorities of the professoriate.","publisher":"Jossey-Bass","publisher-place":"San Francisco","event-place":"San Francisco","author":[{"family":"Boyer","given":"Ernest"}],"issued":{"date-parts":[["1990"]]}},"label":"page"},{"id":113,"uris":["http://zotero.org/users/386570/items/D56CQJZA"],"uri":["http://zotero.org/users/386570/items/D56CQJZA"],"itemData":{"id":113,"type":"article-journal","title":"The Scholarship of Teaching: New Elaborations, New Developments.","container-title":"Change","page":"10-15","volume":"31","issue":"5","author":[{"family":"Hutchings","given":"Pat"},{"family":"Shulman","given":"L. E."}],"issued":{"date-parts":[["1999"]]}},"label":"page"}],"schema":"https://github.com/citation-style-language/schema/raw/master/csl-citation.json"} </w:instrText>
      </w:r>
      <w:r>
        <w:fldChar w:fldCharType="separate"/>
      </w:r>
      <w:r w:rsidRPr="00492D5F">
        <w:rPr>
          <w:rFonts w:ascii="Calibri" w:hAnsi="Calibri"/>
        </w:rPr>
        <w:t>(Boyer, 1990; Hutchings &amp; Shulman, 1999)</w:t>
      </w:r>
      <w:r>
        <w:fldChar w:fldCharType="end"/>
      </w:r>
      <w:r>
        <w:t xml:space="preserve">, and universities develop “Teaching and Scholarship” career progression routes, as an alternative to more traditional “Research and Teaching” routes. However, while the Research and Teaching career path is clear, commonly understood and accepted, the Teaching and Scholarship career route is poorly defined, poorly understood and often </w:t>
      </w:r>
      <w:r w:rsidR="005B22F2">
        <w:t xml:space="preserve">exists without being enacted. In addition to this, the requirement for “scholarship” is also contentious, as the definition for SoTL is not clear </w:t>
      </w:r>
      <w:r w:rsidR="005B22F2">
        <w:fldChar w:fldCharType="begin"/>
      </w:r>
      <w:r w:rsidR="009B054C">
        <w:instrText xml:space="preserve"> ADDIN ZOTERO_ITEM CSL_CITATION {"citationID":"1lt8mhns57","properties":{"formattedCitation":"(Boshier, 2009)","plainCitation":"(Boshier, 2009)"},"citationItems":[{"id":29,"uris":["http://zotero.org/users/386570/items/4WRTPJ3H"],"uri":["http://zotero.org/users/386570/items/4WRTPJ3H"],"itemData":{"id":29,"type":"article-journal","title":"Why is the Scholarship of Teaching and Learning such a hard sell?","container-title":"Higher Education Research &amp; Development","page":"1-15","volume":"28","issue":"1","source":"EBSCOhost","abstract":"Advocates have difficulty convincing colleagues Scholarship of Teaching and Learning (SoTL) is a worthwhile use of time and resources. This article highlights problems impeding SoTL. First, scholarship of teaching gets used as a synonym for other activities. Second, Boyer's definition was conceptually confused. Third, SoTL is difficult to operationalize. Fourth, much discourse concerning SoTL is anti-intellectual and located in a narrow neoliberalism. Fifth, there is uncritical over-reliance on peer review as the mechanism for measuring scholarship. Each impediment makes SoTL a hard sell - particularly in research-intensive universities. Taken together, they constitute a formidable problem for SoTL advocates and contain incendiary implications for promotion candidates and committees. [ABSTRACT FROM AUTHOR]","ISSN":"07294360","author":[{"family":"Boshier","given":"Roger"}],"issued":{"date-parts":[["2009",2]]}}}],"schema":"https://github.com/citation-style-language/schema/raw/master/csl-citation.json"} </w:instrText>
      </w:r>
      <w:r w:rsidR="005B22F2">
        <w:fldChar w:fldCharType="separate"/>
      </w:r>
      <w:r w:rsidR="005B22F2" w:rsidRPr="005B22F2">
        <w:rPr>
          <w:rFonts w:ascii="Calibri" w:hAnsi="Calibri"/>
        </w:rPr>
        <w:t>(Boshier, 2009)</w:t>
      </w:r>
      <w:r w:rsidR="005B22F2">
        <w:fldChar w:fldCharType="end"/>
      </w:r>
      <w:r w:rsidR="005B22F2">
        <w:t xml:space="preserve">, and engagement with SoTL may present difficulties in terms of unknown paradigms. This is a particular challenge for positivist traditions, and </w:t>
      </w:r>
      <w:r w:rsidR="009005F8">
        <w:t>Life S</w:t>
      </w:r>
      <w:r w:rsidR="005B22F2">
        <w:t>cientists may find themselves struggling with the concepts presented as SoTL.</w:t>
      </w:r>
      <w:r w:rsidR="002F6937">
        <w:t xml:space="preserve"> However, the contractual obligation to engage means that the obstacles to engagement have to be overcome.</w:t>
      </w:r>
    </w:p>
    <w:p w14:paraId="7177FB2F" w14:textId="77777777" w:rsidR="005E3287" w:rsidRPr="005E3287" w:rsidRDefault="005E3287" w:rsidP="005E3287">
      <w:pPr>
        <w:spacing w:line="480" w:lineRule="auto"/>
        <w:rPr>
          <w:b/>
        </w:rPr>
      </w:pPr>
      <w:r w:rsidRPr="005E3287">
        <w:rPr>
          <w:b/>
        </w:rPr>
        <w:t xml:space="preserve">The challenges of new practices for experienced professionals </w:t>
      </w:r>
    </w:p>
    <w:p w14:paraId="22EC261F" w14:textId="77777777" w:rsidR="009B054C" w:rsidRDefault="002B0A09" w:rsidP="00432503">
      <w:pPr>
        <w:spacing w:line="480" w:lineRule="auto"/>
      </w:pPr>
      <w:r>
        <w:t>The identification of Threshold Concepts</w:t>
      </w:r>
      <w:r w:rsidR="002B1910">
        <w:t xml:space="preserve"> </w:t>
      </w:r>
      <w:r w:rsidR="002B1910">
        <w:fldChar w:fldCharType="begin"/>
      </w:r>
      <w:r w:rsidR="009B054C">
        <w:instrText xml:space="preserve"> ADDIN ZOTERO_ITEM CSL_CITATION {"citationID":"6e9pjn26h","properties":{"formattedCitation":"(Meyer &amp; Land, 2003)","plainCitation":"(Meyer &amp; Land, 2003)"},"citationItems":[{"id":14,"uris":["http://zotero.org/users/386570/items/2SHX6QDS"],"uri":["http://zotero.org/users/386570/items/2SHX6QDS"],"itemData":{"id":14,"type":"chapter","title":"Threshold concepts and troublesome knowledge: linkages to ways of thinking and practising within the disciplines","container-title":"Improving student learning: Improving student learning theory and practice - Ten Years On.","publisher":"Oxford Centre for Staff and Learning Development","publisher-place":"Oxford","edition":"Rust, C. (Ed)","event-place":"Oxford","author":[{"family":"Meyer","given":"Jan H. F."},{"family":"Land","given":"Ray"}],"issued":{"date-parts":[["2003"]]}}}],"schema":"https://github.com/citation-style-language/schema/raw/master/csl-citation.json"} </w:instrText>
      </w:r>
      <w:r w:rsidR="002B1910">
        <w:fldChar w:fldCharType="separate"/>
      </w:r>
      <w:r w:rsidR="002B1910" w:rsidRPr="002B1910">
        <w:rPr>
          <w:rFonts w:ascii="Calibri" w:hAnsi="Calibri"/>
        </w:rPr>
        <w:t>(Meyer &amp; Land, 2003)</w:t>
      </w:r>
      <w:r w:rsidR="002B1910">
        <w:fldChar w:fldCharType="end"/>
      </w:r>
      <w:r>
        <w:t xml:space="preserve"> in learning is </w:t>
      </w:r>
      <w:r w:rsidR="002B1910">
        <w:t xml:space="preserve">vital in developing student understanding. The </w:t>
      </w:r>
      <w:r w:rsidR="00170180">
        <w:t>characteristics</w:t>
      </w:r>
      <w:r w:rsidR="00B26624">
        <w:t xml:space="preserve"> of a Threshold C</w:t>
      </w:r>
      <w:r w:rsidR="002B1910">
        <w:t>oncept are that it should be transformative, irreversible, integrative, bounded, and that the knowledge is in some way troublesome.</w:t>
      </w:r>
      <w:r w:rsidR="009B054C">
        <w:t xml:space="preserve"> Initial encounters with the troublesome knowledge can induce a liminal state, in which individuals wrestle with Threshold Concepts</w:t>
      </w:r>
      <w:r w:rsidR="002F6937">
        <w:t>, unable to progr</w:t>
      </w:r>
      <w:r w:rsidR="009B054C">
        <w:t>ess.</w:t>
      </w:r>
      <w:r w:rsidR="002F6937">
        <w:t xml:space="preserve"> </w:t>
      </w:r>
      <w:r w:rsidR="009B054C">
        <w:t xml:space="preserve">They may oscillate back and forth, coming to terms with the new knowledge, which in turn facilitates an ontological as well as </w:t>
      </w:r>
      <w:r w:rsidR="009B054C">
        <w:lastRenderedPageBreak/>
        <w:t xml:space="preserve">conceptual transformation </w:t>
      </w:r>
      <w:r w:rsidR="009B054C">
        <w:fldChar w:fldCharType="begin"/>
      </w:r>
      <w:r w:rsidR="009B054C">
        <w:instrText xml:space="preserve"> ADDIN ZOTERO_ITEM CSL_CITATION {"citationID":"f31jlf289","properties":{"formattedCitation":"(Land, Meyer, &amp; Baillie, 2010)","plainCitation":"(Land, Meyer, &amp; Baillie, 2010)"},"citationItems":[{"id":482,"uris":["http://zotero.org/users/386570/items/IQQUP9W9"],"uri":["http://zotero.org/users/386570/items/IQQUP9W9"],"itemData":{"id":482,"type":"chapter","title":"Editors' Preface: Threshold Concepts and Transformational Learning","container-title":"Threshold Concepts and Transformational Learning","publisher":"Sense Publishers","publisher-place":"Rotterdam","page":"ix-xlii","event-place":"Rotterdam","editor":[{"family":"Land","given":"Ray"},{"family":"Meyer","given":"J. H. F."},{"family":"Baillie","given":"C."}],"issued":{"date-parts":[["2010"]]}}}],"schema":"https://github.com/citation-style-language/schema/raw/master/csl-citation.json"} </w:instrText>
      </w:r>
      <w:r w:rsidR="009B054C">
        <w:fldChar w:fldCharType="separate"/>
      </w:r>
      <w:r w:rsidR="009B054C" w:rsidRPr="009B054C">
        <w:rPr>
          <w:rFonts w:ascii="Calibri" w:hAnsi="Calibri"/>
        </w:rPr>
        <w:t>(Land, Meyer, &amp; Baillie, 2010)</w:t>
      </w:r>
      <w:r w:rsidR="009B054C">
        <w:fldChar w:fldCharType="end"/>
      </w:r>
      <w:r w:rsidR="009B054C">
        <w:t>.</w:t>
      </w:r>
      <w:r w:rsidR="002F6937">
        <w:t xml:space="preserve"> </w:t>
      </w:r>
      <w:r w:rsidR="009B054C">
        <w:t>Therefore, individuals that emerge from the</w:t>
      </w:r>
      <w:r w:rsidR="00633C7C">
        <w:t xml:space="preserve"> liminal state have a transform</w:t>
      </w:r>
      <w:r w:rsidR="009B054C">
        <w:t>ed</w:t>
      </w:r>
      <w:r w:rsidR="00534DE2">
        <w:t xml:space="preserve"> understanding of their identity</w:t>
      </w:r>
      <w:r w:rsidR="009B054C">
        <w:t xml:space="preserve"> in addition to new knowledge</w:t>
      </w:r>
      <w:r w:rsidR="00534DE2">
        <w:t>.</w:t>
      </w:r>
      <w:r w:rsidR="002B1910">
        <w:t xml:space="preserve"> </w:t>
      </w:r>
    </w:p>
    <w:p w14:paraId="587F4A67" w14:textId="77777777" w:rsidR="002B0A09" w:rsidRDefault="00173442" w:rsidP="00432503">
      <w:pPr>
        <w:spacing w:line="480" w:lineRule="auto"/>
      </w:pPr>
      <w:r>
        <w:t xml:space="preserve">There is a wealth of work which has been done to identify Threshold Concepts within disciplines. For example, within Life </w:t>
      </w:r>
      <w:r w:rsidR="00534DE2">
        <w:t>Sciences</w:t>
      </w:r>
      <w:r>
        <w:t xml:space="preserve">, Threshold Concepts  have been identified in first year courses </w:t>
      </w:r>
      <w:r>
        <w:fldChar w:fldCharType="begin"/>
      </w:r>
      <w:r w:rsidR="009B054C">
        <w:instrText xml:space="preserve"> ADDIN ZOTERO_ITEM CSL_CITATION {"citationID":"u0gi59hpc","properties":{"formattedCitation":"(Smith, 2012)","plainCitation":"(Smith, 2012)"},"citationItems":[{"id":197,"uris":["http://zotero.org/users/386570/items/P8QB6QXC"],"uri":["http://zotero.org/users/386570/items/P8QB6QXC"],"itemData":{"id":197,"type":"thesis","title":"An Investigation of student learning using threshold concepts in a first year cell biology course","publisher":"University of British Columbia","publisher-place":"Vancouver, Canada","genre":"Master of Arts","event-place":"Vancouver, Canada","URL":"https://circle-prod.library.ubc.ca/bitstream/handle/2429/41938/ubc_2012_spring_smith_karen.pdf?sequence=1","author":[{"family":"Smith","given":"K"}],"issued":{"date-parts":[["2012"]]},"accessed":{"date-parts":[["2014",6,24]]}}}],"schema":"https://github.com/citation-style-language/schema/raw/master/csl-citation.json"} </w:instrText>
      </w:r>
      <w:r>
        <w:fldChar w:fldCharType="separate"/>
      </w:r>
      <w:r w:rsidRPr="00173442">
        <w:rPr>
          <w:rFonts w:ascii="Calibri" w:hAnsi="Calibri"/>
        </w:rPr>
        <w:t>(Smith, 2012)</w:t>
      </w:r>
      <w:r>
        <w:fldChar w:fldCharType="end"/>
      </w:r>
      <w:r>
        <w:t xml:space="preserve"> and to investigate </w:t>
      </w:r>
      <w:r w:rsidR="00CE2CFD">
        <w:t xml:space="preserve">student understanding of </w:t>
      </w:r>
      <w:r>
        <w:t xml:space="preserve">hypothesis generation  </w:t>
      </w:r>
      <w:r w:rsidR="00CE2CFD">
        <w:fldChar w:fldCharType="begin"/>
      </w:r>
      <w:r w:rsidR="009B054C">
        <w:instrText xml:space="preserve"> ADDIN ZOTERO_ITEM CSL_CITATION {"citationID":"1as1fd5bu6","properties":{"formattedCitation":"(Taylor, Tzoumis, Meyer, &amp; Ross, 2012)","plainCitation":"(Taylor, Tzoumis, Meyer, &amp; Ross, 2012)"},"citationItems":[{"id":93,"uris":["http://zotero.org/users/386570/items/BB7AQF8J"],"uri":["http://zotero.org/users/386570/items/BB7AQF8J"],"itemData":{"id":93,"type":"paper-conference","title":"Using a mixed methods approach to explore student understanding of hypotheses in Biology","container-title":"Proceedings of the National Academy's Sixth Annual Conference and the Fourth Biennial Threshold Concepts Conference","publisher":"NAIRTL","publisher-place":"Trinity College, Dublin","page":"83-87","event":"Threshold Concepts: From Personal Practice to Communities of Practice","event-place":"Trinity College, Dublin","URL":"http://www.nairtl.ie/documents/EPub_2012Proceedings.pdf#page=93","author":[{"family":"Taylor","given":"C"},{"family":"Tzoumis","given":"V"},{"family":"Meyer","given":"J.H.F."},{"family":"Ross","given":"P."}],"issued":{"date-parts":[["2012"]]},"accessed":{"date-parts":[["2014",6,24]]}}}],"schema":"https://github.com/citation-style-language/schema/raw/master/csl-citation.json"} </w:instrText>
      </w:r>
      <w:r w:rsidR="00CE2CFD">
        <w:fldChar w:fldCharType="separate"/>
      </w:r>
      <w:r w:rsidR="00CE2CFD" w:rsidRPr="00CE2CFD">
        <w:rPr>
          <w:rFonts w:ascii="Calibri" w:hAnsi="Calibri"/>
        </w:rPr>
        <w:t>(Taylor, Tzoumis, Meyer, &amp; Ross, 2012)</w:t>
      </w:r>
      <w:r w:rsidR="00CE2CFD">
        <w:fldChar w:fldCharType="end"/>
      </w:r>
      <w:r w:rsidR="00CE2CFD">
        <w:t>.</w:t>
      </w:r>
      <w:r>
        <w:t xml:space="preserve"> In addition, work has bee</w:t>
      </w:r>
      <w:r w:rsidR="00170180">
        <w:t>n</w:t>
      </w:r>
      <w:r>
        <w:t xml:space="preserve"> done in</w:t>
      </w:r>
      <w:r w:rsidR="00170180">
        <w:t xml:space="preserve"> the context of educational developers </w:t>
      </w:r>
      <w:r w:rsidR="00170180">
        <w:fldChar w:fldCharType="begin"/>
      </w:r>
      <w:r w:rsidR="009B054C">
        <w:instrText xml:space="preserve"> ADDIN ZOTERO_ITEM CSL_CITATION {"citationID":"2020n1tjs9","properties":{"formattedCitation":"(Timmermans, 2013)","plainCitation":"(Timmermans, 2013)"},"citationItems":[{"id":152,"uris":["http://zotero.org/users/386570/items/HBPJ2ZZK"],"uri":["http://zotero.org/users/386570/items/HBPJ2ZZK"],"itemData":{"id":152,"type":"article-journal","title":"Identifying threshold concepts in the careers of educational developers","container-title":"International Journal for Academic Development","URL":"http://dx.doi.org/10.1080/1360144X.2014.895731","DOI":"10.1080/1360144X.2014.895731","author":[{"family":"Timmermans","given":"Julie A"}],"issued":{"date-parts":[["2013"]]}}}],"schema":"https://github.com/citation-style-language/schema/raw/master/csl-citation.json"} </w:instrText>
      </w:r>
      <w:r w:rsidR="00170180">
        <w:fldChar w:fldCharType="separate"/>
      </w:r>
      <w:r w:rsidR="00170180" w:rsidRPr="00170180">
        <w:rPr>
          <w:rFonts w:ascii="Calibri" w:hAnsi="Calibri"/>
        </w:rPr>
        <w:t>(Timmermans, 2013)</w:t>
      </w:r>
      <w:r w:rsidR="00170180">
        <w:fldChar w:fldCharType="end"/>
      </w:r>
      <w:r w:rsidR="00101E1A">
        <w:t xml:space="preserve">, </w:t>
      </w:r>
      <w:r w:rsidR="002B1910">
        <w:t>as a way to initiate interest in the Scholarship of Teaching and Learning</w:t>
      </w:r>
      <w:r w:rsidR="00101E1A">
        <w:t xml:space="preserve"> (SoTL)</w:t>
      </w:r>
      <w:r w:rsidR="002B1910">
        <w:t xml:space="preserve"> </w:t>
      </w:r>
      <w:r w:rsidR="002B1910">
        <w:fldChar w:fldCharType="begin"/>
      </w:r>
      <w:r w:rsidR="00BC6751">
        <w:instrText xml:space="preserve"> ADDIN ZOTERO_ITEM CSL_CITATION {"citationID":"13cebo000m","properties":{"formattedCitation":"(McLean, 2009)","plainCitation":"(McLean, 2009)"},"citationItems":[{"id":67,"uris":["http://zotero.org/users/386570/items/8NE2CNXX"],"uri":["http://zotero.org/users/386570/items/8NE2CNXX"],"itemData":{"id":67,"type":"article-journal","title":"Triggering Engagement in SoTL through Threshold Concepts","container-title":"International Journal for the Scholarship of Teaching and Learning","page":"Article 24","volume":"3","issue":"2","author":[{"family":"McLean","given":"Jan"}],"issued":{"date-parts":[["2009"]]}}}],"schema":"https://github.com/citation-style-language/schema/raw/master/csl-citation.json"} </w:instrText>
      </w:r>
      <w:r w:rsidR="002B1910">
        <w:fldChar w:fldCharType="separate"/>
      </w:r>
      <w:r w:rsidR="002B1910" w:rsidRPr="002B1910">
        <w:rPr>
          <w:rFonts w:ascii="Calibri" w:hAnsi="Calibri"/>
        </w:rPr>
        <w:t>(McLean, 2009)</w:t>
      </w:r>
      <w:r w:rsidR="002B1910">
        <w:fldChar w:fldCharType="end"/>
      </w:r>
      <w:r w:rsidR="00101E1A">
        <w:t xml:space="preserve">, and to develop scholarly teaching </w:t>
      </w:r>
      <w:r w:rsidR="00101E1A">
        <w:fldChar w:fldCharType="begin"/>
      </w:r>
      <w:r w:rsidR="009B054C">
        <w:instrText xml:space="preserve"> ADDIN ZOTERO_ITEM CSL_CITATION {"citationID":"fn5sbktii","properties":{"formattedCitation":"(Bunnell &amp; Bernstein, 2012)","plainCitation":"(Bunnell &amp; Bernstein, 2012)"},"citationItems":[{"id":203,"uris":["http://zotero.org/users/386570/items/PQXCWR78"],"uri":["http://zotero.org/users/386570/items/PQXCWR78"],"itemData":{"id":203,"type":"article-journal","title":"Overcoming Some Threshold Concepts in Scholarly Teaching","container-title":"The Journal of Faculty Development","page":"14-18","volume":"26","issue":"3","author":[{"family":"Bunnell","given":"Sarah L."},{"family":"Bernstein","given":"Daniel J."}],"issued":{"date-parts":[["2012"]]}}}],"schema":"https://github.com/citation-style-language/schema/raw/master/csl-citation.json"} </w:instrText>
      </w:r>
      <w:r w:rsidR="00101E1A">
        <w:fldChar w:fldCharType="separate"/>
      </w:r>
      <w:r w:rsidR="00101E1A" w:rsidRPr="00101E1A">
        <w:rPr>
          <w:rFonts w:ascii="Calibri" w:hAnsi="Calibri"/>
        </w:rPr>
        <w:t>(Bunnell &amp; Bernstein, 2012)</w:t>
      </w:r>
      <w:r w:rsidR="00101E1A">
        <w:fldChar w:fldCharType="end"/>
      </w:r>
      <w:r w:rsidR="00170180">
        <w:t>.</w:t>
      </w:r>
      <w:r w:rsidR="00534DE2">
        <w:t xml:space="preserve"> However, there are few studies which have examined academics’ understanding of SoTL itself, with the exception of Webb’s </w:t>
      </w:r>
      <w:r w:rsidR="00534DE2">
        <w:fldChar w:fldCharType="begin"/>
      </w:r>
      <w:r w:rsidR="009B054C">
        <w:instrText xml:space="preserve"> ADDIN ZOTERO_ITEM CSL_CITATION {"citationID":"20mtimvblk","properties":{"formattedCitation":"(2014)","plainCitation":"(2014)"},"citationItems":[{"id":464,"uris":["http://zotero.org/users/386570/items/9D5NZAR9"],"uri":["http://zotero.org/users/386570/items/9D5NZAR9"],"itemData":{"id":464,"type":"paper-conference","title":"Threshold Concepts and the Scholarship of Teaching and Learning","publisher-place":"Durham University","event":"Threshold Concepts in Practice","event-place":"Durham University","author":[{"family":"Webb","given":"Andrea"}],"issued":{"date-parts":[["2014"]]}},"suppress-author":true}],"schema":"https://github.com/citation-style-language/schema/raw/master/csl-citation.json"} </w:instrText>
      </w:r>
      <w:r w:rsidR="00534DE2">
        <w:fldChar w:fldCharType="separate"/>
      </w:r>
      <w:r w:rsidR="00534DE2" w:rsidRPr="00534DE2">
        <w:rPr>
          <w:rFonts w:ascii="Calibri" w:hAnsi="Calibri"/>
        </w:rPr>
        <w:t>(2014)</w:t>
      </w:r>
      <w:r w:rsidR="00534DE2">
        <w:fldChar w:fldCharType="end"/>
      </w:r>
      <w:r w:rsidR="00534DE2">
        <w:t xml:space="preserve"> study of </w:t>
      </w:r>
      <w:r w:rsidR="00BB379E">
        <w:t>mid-career</w:t>
      </w:r>
      <w:r w:rsidR="00534DE2">
        <w:t xml:space="preserve"> academics taking part i</w:t>
      </w:r>
      <w:r w:rsidR="00B26624">
        <w:t>n a specific course on SoTL,</w:t>
      </w:r>
      <w:r w:rsidR="00534DE2">
        <w:t xml:space="preserve"> </w:t>
      </w:r>
      <w:r w:rsidR="00B26624">
        <w:t>finding</w:t>
      </w:r>
      <w:r w:rsidR="00534DE2">
        <w:t xml:space="preserve"> evidence for both epistemological and ontological Threshold concepts.</w:t>
      </w:r>
    </w:p>
    <w:p w14:paraId="265634C6" w14:textId="77777777" w:rsidR="00101E1A" w:rsidRDefault="00101E1A" w:rsidP="00432503">
      <w:pPr>
        <w:spacing w:line="480" w:lineRule="auto"/>
      </w:pPr>
      <w:r>
        <w:t>For academic staff in the UK context, it is becom</w:t>
      </w:r>
      <w:r w:rsidR="006851DA">
        <w:t xml:space="preserve">ing increasingly common for engagement with </w:t>
      </w:r>
      <w:r w:rsidR="00534DE2">
        <w:t xml:space="preserve">SoTL </w:t>
      </w:r>
      <w:r w:rsidR="007E0950">
        <w:fldChar w:fldCharType="begin"/>
      </w:r>
      <w:r w:rsidR="009B054C">
        <w:instrText xml:space="preserve"> ADDIN ZOTERO_ITEM CSL_CITATION {"citationID":"21b7tdf3sf","properties":{"formattedCitation":"(Boyer, 1990)","plainCitation":"(Boyer, 1990)"},"citationItems":[{"id":3,"uris":["http://zotero.org/users/386570/items/23396MAS"],"uri":["http://zotero.org/users/386570/items/23396MAS"],"itemData":{"id":3,"type":"book","title":"Scholarship reconsidered: Priorities of the professoriate.","publisher":"Jossey-Bass","publisher-place":"San Francisco","event-place":"San Francisco","author":[{"family":"Boyer","given":"Ernest"}],"issued":{"date-parts":[["1990"]]}}}],"schema":"https://github.com/citation-style-language/schema/raw/master/csl-citation.json"} </w:instrText>
      </w:r>
      <w:r w:rsidR="007E0950">
        <w:fldChar w:fldCharType="separate"/>
      </w:r>
      <w:r w:rsidR="007E0950" w:rsidRPr="007E0950">
        <w:rPr>
          <w:rFonts w:ascii="Calibri" w:hAnsi="Calibri"/>
        </w:rPr>
        <w:t>(Boyer, 1990)</w:t>
      </w:r>
      <w:r w:rsidR="007E0950">
        <w:fldChar w:fldCharType="end"/>
      </w:r>
      <w:r w:rsidR="006851DA">
        <w:t xml:space="preserve"> to be a contractual obligation, and with an estimated one in four academic staff on a “teaching and scholarship” career path </w:t>
      </w:r>
      <w:r w:rsidR="006851DA">
        <w:fldChar w:fldCharType="begin"/>
      </w:r>
      <w:r w:rsidR="00D93CAA">
        <w:instrText xml:space="preserve"> ADDIN ZOTERO_ITEM CSL_CITATION {"citationID":"1dnk2vs65i","properties":{"formattedCitation":"(Times Higher Education, 2008)","plainCitation":"(Times Higher Education, 2008)"},"citationItems":[{"id":73,"uris":["http://zotero.org/users/386570/items/98NX7SD9"],"uri":["http://zotero.org/users/386570/items/98NX7SD9"],"itemData":{"id":73,"type":"webpage","title":"A lesser breed?","container-title":"Times Higher Education","abstract":"Teaching-only staff were once widely deemed unworthy of the name 'academic'. But one in four UK academics is now labelled so, and the proportion is expected to grow. Esther Oxford considers the implications.","URL":"http://www.timeshighereducation.co.uk/features/a-lesser-breed/400361.article","author":[{"family":"Times Higher Education","given":""}],"issued":{"date-parts":[["2008",1,3]]},"accessed":{"date-parts":[["2013",4,21]]}}}],"schema":"https://github.com/citation-style-language/schema/raw/master/csl-citation.json"} </w:instrText>
      </w:r>
      <w:r w:rsidR="006851DA">
        <w:fldChar w:fldCharType="separate"/>
      </w:r>
      <w:r w:rsidR="006851DA" w:rsidRPr="006851DA">
        <w:rPr>
          <w:rFonts w:ascii="Calibri" w:hAnsi="Calibri"/>
        </w:rPr>
        <w:t>(Times Higher Education, 2008)</w:t>
      </w:r>
      <w:r w:rsidR="006851DA">
        <w:fldChar w:fldCharType="end"/>
      </w:r>
      <w:r w:rsidR="00E15F1A">
        <w:t xml:space="preserve">, identifying ways in which to support staff is both necessary and timely. </w:t>
      </w:r>
      <w:r w:rsidR="00534DE2">
        <w:t>The</w:t>
      </w:r>
      <w:r w:rsidR="00CD6CA4">
        <w:t xml:space="preserve"> definition of SoTL is contested by scholars such </w:t>
      </w:r>
      <w:r w:rsidR="00BC6751">
        <w:t xml:space="preserve">as Boshier </w:t>
      </w:r>
      <w:r w:rsidR="00BC6751">
        <w:fldChar w:fldCharType="begin"/>
      </w:r>
      <w:r w:rsidR="009B054C">
        <w:instrText xml:space="preserve"> ADDIN ZOTERO_ITEM CSL_CITATION {"citationID":"25qk7koctg","properties":{"formattedCitation":"(2009)","plainCitation":"(2009)"},"citationItems":[{"id":29,"uris":["http://zotero.org/users/386570/items/4WRTPJ3H"],"uri":["http://zotero.org/users/386570/items/4WRTPJ3H"],"itemData":{"id":29,"type":"article-journal","title":"Why is the Scholarship of Teaching and Learning such a hard sell?","container-title":"Higher Education Research &amp; Development","page":"1-15","volume":"28","issue":"1","source":"EBSCOhost","abstract":"Advocates have difficulty convincing colleagues Scholarship of Teaching and Learning (SoTL) is a worthwhile use of time and resources. This article highlights problems impeding SoTL. First, scholarship of teaching gets used as a synonym for other activities. Second, Boyer's definition was conceptually confused. Third, SoTL is difficult to operationalize. Fourth, much discourse concerning SoTL is anti-intellectual and located in a narrow neoliberalism. Fifth, there is uncritical over-reliance on peer review as the mechanism for measuring scholarship. Each impediment makes SoTL a hard sell - particularly in research-intensive universities. Taken together, they constitute a formidable problem for SoTL advocates and contain incendiary implications for promotion candidates and committees. [ABSTRACT FROM AUTHOR]","ISSN":"07294360","author":[{"family":"Boshier","given":"Roger"}],"issued":{"date-parts":[["2009",2]]}},"suppress-author":true}],"schema":"https://github.com/citation-style-language/schema/raw/master/csl-citation.json"} </w:instrText>
      </w:r>
      <w:r w:rsidR="00BC6751">
        <w:fldChar w:fldCharType="separate"/>
      </w:r>
      <w:r w:rsidR="00BC6751" w:rsidRPr="00BC6751">
        <w:rPr>
          <w:rFonts w:ascii="Calibri" w:hAnsi="Calibri"/>
        </w:rPr>
        <w:t>(2009)</w:t>
      </w:r>
      <w:r w:rsidR="00BC6751">
        <w:fldChar w:fldCharType="end"/>
      </w:r>
      <w:r w:rsidR="00534DE2">
        <w:t>, and there is a general lack of consensus as to what it constitutes. However,</w:t>
      </w:r>
      <w:r w:rsidR="00BC6751">
        <w:t xml:space="preserve"> there are models of SoTL which serve as a useful guide, such as</w:t>
      </w:r>
      <w:r w:rsidR="00113EF0">
        <w:t xml:space="preserve"> </w:t>
      </w:r>
      <w:proofErr w:type="spellStart"/>
      <w:r w:rsidR="00113EF0">
        <w:t>Glassick</w:t>
      </w:r>
      <w:proofErr w:type="spellEnd"/>
      <w:r w:rsidR="00113EF0">
        <w:t xml:space="preserve">, Huber and </w:t>
      </w:r>
      <w:proofErr w:type="spellStart"/>
      <w:r w:rsidR="00113EF0">
        <w:t>Maeroff’s</w:t>
      </w:r>
      <w:proofErr w:type="spellEnd"/>
      <w:r w:rsidR="00113EF0">
        <w:t xml:space="preserve"> criteria for scholarship </w:t>
      </w:r>
      <w:r w:rsidR="00113EF0">
        <w:fldChar w:fldCharType="begin"/>
      </w:r>
      <w:r w:rsidR="009B054C">
        <w:instrText xml:space="preserve"> ADDIN ZOTERO_ITEM CSL_CITATION {"citationID":"22g92irke0","properties":{"formattedCitation":"(1997)","plainCitation":"(1997)"},"citationItems":[{"id":270,"uris":["http://zotero.org/users/386570/items/XDMR8GJB"],"uri":["http://zotero.org/users/386570/items/XDMR8GJB"],"itemData":{"id":270,"type":"book","title":"Scholarship assessed: Evaluation of the professoriate.","publisher":"Jossey-Bass","publisher-place":"San Francisco","event-place":"San Francisco","author":[{"family":"Glassick","given":"C. E."},{"family":"Huber","given":"M. T."},{"family":"Maeroff","given":"G. I."}],"issued":{"date-parts":[["1997"]]}},"suppress-author":true}],"schema":"https://github.com/citation-style-language/schema/raw/master/csl-citation.json"} </w:instrText>
      </w:r>
      <w:r w:rsidR="00113EF0">
        <w:fldChar w:fldCharType="separate"/>
      </w:r>
      <w:r w:rsidR="00113EF0" w:rsidRPr="00113EF0">
        <w:rPr>
          <w:rFonts w:ascii="Calibri" w:hAnsi="Calibri"/>
        </w:rPr>
        <w:t>(1997)</w:t>
      </w:r>
      <w:r w:rsidR="00113EF0">
        <w:fldChar w:fldCharType="end"/>
      </w:r>
      <w:r w:rsidR="00113EF0">
        <w:t>,</w:t>
      </w:r>
      <w:r w:rsidR="00BC6751">
        <w:t xml:space="preserve"> </w:t>
      </w:r>
      <w:proofErr w:type="spellStart"/>
      <w:r w:rsidR="00BC6751">
        <w:t>Kreber’s</w:t>
      </w:r>
      <w:proofErr w:type="spellEnd"/>
      <w:r w:rsidR="00BC6751">
        <w:t xml:space="preserve"> Reflective Practitioner </w:t>
      </w:r>
      <w:r w:rsidR="00BC6751">
        <w:fldChar w:fldCharType="begin"/>
      </w:r>
      <w:r w:rsidR="009B054C">
        <w:instrText xml:space="preserve"> ADDIN ZOTERO_ITEM CSL_CITATION {"citationID":"294r6u939b","properties":{"formattedCitation":"(2002)","plainCitation":"(2002)"},"citationItems":[{"id":131,"uris":["http://zotero.org/users/386570/items/F6UT9TBM"],"uri":["http://zotero.org/users/386570/items/F6UT9TBM"],"itemData":{"id":131,"type":"article-journal","title":"Teaching Excellence, Teaching Expertise, and the Scholarship of Teaching.","container-title":"Innovative Higher Education","page":"5","volume":"27","issue":"1","source":"EBSCOhost","abstract":"The previous decade witnessed significant advancements in the scholarship of teaching at the levels of both theory building and program development. Notwithstanding these achievements, there remains considerable ambiguity regarding the meaning of the concept. This ambiguity has implications for faculty evaluation. Excellence in teaching, expertise in teaching, and the scholarship of teaching are analyzed according to the nature and sources of knowledge construction underlying each. Practical examples are included to illustrate differences. It is argued that excellence in teaching and the scholarship of teaching are both important but should be recognized and rewarded in their own right. [ABSTRACT FROM AUTHOR]","ISSN":"07425627","author":[{"family":"Kreber","given":"Carolin"}],"issued":{"date-parts":[["2002"]]}},"suppress-author":true}],"schema":"https://github.com/citation-style-language/schema/raw/master/csl-citation.json"} </w:instrText>
      </w:r>
      <w:r w:rsidR="00BC6751">
        <w:fldChar w:fldCharType="separate"/>
      </w:r>
      <w:r w:rsidR="00BC6751" w:rsidRPr="00BC6751">
        <w:rPr>
          <w:rFonts w:ascii="Calibri" w:hAnsi="Calibri"/>
        </w:rPr>
        <w:t>(2002)</w:t>
      </w:r>
      <w:r w:rsidR="00BC6751">
        <w:fldChar w:fldCharType="end"/>
      </w:r>
      <w:r w:rsidR="00BC6751">
        <w:t>, Antman and Olsson’s two dimensional theory-</w:t>
      </w:r>
      <w:r w:rsidR="00D93CAA">
        <w:t xml:space="preserve">practice matrix model </w:t>
      </w:r>
      <w:r w:rsidR="00D93CAA">
        <w:fldChar w:fldCharType="begin"/>
      </w:r>
      <w:r w:rsidR="009B054C">
        <w:instrText xml:space="preserve"> ADDIN ZOTERO_ITEM CSL_CITATION {"citationID":"29vp40dgab","properties":{"formattedCitation":"(2007)","plainCitation":"(2007)"},"citationItems":[{"id":227,"uris":["http://zotero.org/users/386570/items/SJ688QSD"],"uri":["http://zotero.org/users/386570/items/SJ688QSD"],"itemData":{"id":227,"type":"chapter","title":"A Two-Dimensional Matrix Model for Analysing Scholarly  Approaches to Teaching and Learning","container-title":"Improving Student Learning through Teaching","publisher":"The Oxford Centre for Staff and Learning Development","publisher-place":"Oxford","event-place":"Oxford","author":[{"family":"Antman","given":"L"},{"family":"Olsson","given":"Thomas"}],"issued":{"date-parts":[["2007"]]}},"suppress-author":true}],"schema":"https://github.com/citation-style-language/schema/raw/master/csl-citation.json"} </w:instrText>
      </w:r>
      <w:r w:rsidR="00D93CAA">
        <w:fldChar w:fldCharType="separate"/>
      </w:r>
      <w:r w:rsidR="00D93CAA" w:rsidRPr="00D93CAA">
        <w:rPr>
          <w:rFonts w:ascii="Calibri" w:hAnsi="Calibri"/>
        </w:rPr>
        <w:t>(2007)</w:t>
      </w:r>
      <w:r w:rsidR="00D93CAA">
        <w:fldChar w:fldCharType="end"/>
      </w:r>
      <w:r w:rsidR="00113EF0">
        <w:t xml:space="preserve"> and Trigwell, Martin, Benjamin and Prosser’s four dimensional model of scholarship </w:t>
      </w:r>
      <w:r w:rsidR="00113EF0">
        <w:fldChar w:fldCharType="begin"/>
      </w:r>
      <w:r w:rsidR="009B054C">
        <w:instrText xml:space="preserve"> ADDIN ZOTERO_ITEM CSL_CITATION {"citationID":"24sqqd0hqu","properties":{"formattedCitation":"(2000)","plainCitation":"(2000)"},"citationItems":[{"id":104,"uris":["http://zotero.org/users/386570/items/CFNXGIMZ"],"uri":["http://zotero.org/users/386570/items/CFNXGIMZ"],"itemData":{"id":104,"type":"article-journal","title":"Scholarship of Teaching: a model","container-title":"Higher Education Research &amp; Development","page":"155-168","volume":"19","issue":"2","source":"EBSCOhost","abstract":"In this paper we present a model which describes the scholarship of teaching. We first explore what scholarship of teaching means, both in terms of the way it is represented in the literature and also the way it is understood by academic staff themselves. From this information, we derive a multi-dimensional model of scholarship of teaching which captures the variation found in the literature and empirical studies. In the final section, we illustrate how the model is used in informing the design of programs for development of the scholarship of teaching in universities.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Abstracts.)","ISSN":"07294360","call-number":"3839399","shortTitle":"Scholarship of Teaching","author":[{"family":"Trigwell","given":"Keith"},{"family":"Martin","given":"Elaine"},{"family":"Benjamin","given":"Joan"},{"family":"Prosser","given":"Mike"}],"issued":{"date-parts":[["2000",7]]}},"suppress-author":true}],"schema":"https://github.com/citation-style-language/schema/raw/master/csl-citation.json"} </w:instrText>
      </w:r>
      <w:r w:rsidR="00113EF0">
        <w:fldChar w:fldCharType="separate"/>
      </w:r>
      <w:r w:rsidR="00113EF0" w:rsidRPr="00113EF0">
        <w:rPr>
          <w:rFonts w:ascii="Calibri" w:hAnsi="Calibri"/>
        </w:rPr>
        <w:t>(2000)</w:t>
      </w:r>
      <w:r w:rsidR="00113EF0">
        <w:fldChar w:fldCharType="end"/>
      </w:r>
      <w:r w:rsidR="00B26624">
        <w:t xml:space="preserve">. </w:t>
      </w:r>
    </w:p>
    <w:p w14:paraId="54336439" w14:textId="77777777" w:rsidR="00113EF0" w:rsidRDefault="00113EF0">
      <w:r>
        <w:br w:type="page"/>
      </w:r>
    </w:p>
    <w:p w14:paraId="5298C5CF" w14:textId="77777777" w:rsidR="00E15F1A" w:rsidRPr="007020AA" w:rsidRDefault="00534DE2" w:rsidP="00432503">
      <w:pPr>
        <w:spacing w:line="480" w:lineRule="auto"/>
        <w:rPr>
          <w:b/>
          <w:sz w:val="24"/>
          <w:szCs w:val="24"/>
        </w:rPr>
      </w:pPr>
      <w:r>
        <w:rPr>
          <w:b/>
          <w:sz w:val="24"/>
          <w:szCs w:val="24"/>
        </w:rPr>
        <w:lastRenderedPageBreak/>
        <w:t>Using narrative interviews to explore Threshold Concepts in SoTL</w:t>
      </w:r>
    </w:p>
    <w:p w14:paraId="49E96DA4" w14:textId="77777777" w:rsidR="009D057C" w:rsidRDefault="00E15F1A" w:rsidP="00BE3768">
      <w:pPr>
        <w:spacing w:before="240" w:line="480" w:lineRule="auto"/>
      </w:pPr>
      <w:r>
        <w:t xml:space="preserve">Life Science academics at UK universities were invited to take part </w:t>
      </w:r>
      <w:r w:rsidR="00534DE2">
        <w:t>in interviews which explored their perceptions of SoTL, and life as a teaching-focused academic</w:t>
      </w:r>
      <w:r>
        <w:t>. Twenty</w:t>
      </w:r>
      <w:r w:rsidR="00BD1368">
        <w:t xml:space="preserve"> one</w:t>
      </w:r>
      <w:r>
        <w:t xml:space="preserve"> a</w:t>
      </w:r>
      <w:r w:rsidR="00B812E0">
        <w:t>cademics from</w:t>
      </w:r>
      <w:r w:rsidR="009D057C">
        <w:t xml:space="preserve"> Life Sciences departments in</w:t>
      </w:r>
      <w:r w:rsidR="00B812E0">
        <w:t xml:space="preserve"> a range of UK universities were interviewed.</w:t>
      </w:r>
      <w:r w:rsidR="009D057C">
        <w:t xml:space="preserve"> Table 1. shows the composition of the sample by institution </w:t>
      </w:r>
      <w:proofErr w:type="gramStart"/>
      <w:r w:rsidR="009D057C">
        <w:t>type</w:t>
      </w:r>
      <w:r w:rsidR="002E2ACE">
        <w:t>, and</w:t>
      </w:r>
      <w:proofErr w:type="gramEnd"/>
      <w:r w:rsidR="002E2ACE">
        <w:t xml:space="preserve"> highlights</w:t>
      </w:r>
      <w:r w:rsidR="00A015E3">
        <w:t xml:space="preserve"> the number of individ</w:t>
      </w:r>
      <w:r w:rsidR="00B26624">
        <w:t>uals on Teaching only contracts</w:t>
      </w:r>
      <w:r w:rsidR="00A015E3">
        <w:t xml:space="preserve"> and the number with engagement with SoTL written into their contracts</w:t>
      </w:r>
      <w:r w:rsidR="009D057C">
        <w:t>.</w:t>
      </w:r>
      <w:r w:rsidR="007E0950">
        <w:t xml:space="preserve"> </w:t>
      </w:r>
    </w:p>
    <w:p w14:paraId="1B200572" w14:textId="77777777" w:rsidR="009D057C" w:rsidRPr="009D057C" w:rsidRDefault="009D057C" w:rsidP="009D057C">
      <w:pPr>
        <w:spacing w:before="240" w:after="0" w:line="480" w:lineRule="auto"/>
        <w:jc w:val="center"/>
        <w:rPr>
          <w:sz w:val="18"/>
          <w:szCs w:val="18"/>
        </w:rPr>
      </w:pPr>
      <w:r>
        <w:rPr>
          <w:sz w:val="18"/>
          <w:szCs w:val="18"/>
        </w:rPr>
        <w:t>Table 1. Composition of sample of participants</w:t>
      </w:r>
    </w:p>
    <w:tbl>
      <w:tblPr>
        <w:tblStyle w:val="TableGrid"/>
        <w:tblW w:w="0" w:type="auto"/>
        <w:tblInd w:w="108" w:type="dxa"/>
        <w:tblLook w:val="04A0" w:firstRow="1" w:lastRow="0" w:firstColumn="1" w:lastColumn="0" w:noHBand="0" w:noVBand="1"/>
      </w:tblPr>
      <w:tblGrid>
        <w:gridCol w:w="2127"/>
        <w:gridCol w:w="1701"/>
        <w:gridCol w:w="1417"/>
        <w:gridCol w:w="1418"/>
        <w:gridCol w:w="1417"/>
      </w:tblGrid>
      <w:tr w:rsidR="003D207B" w:rsidRPr="00DA6882" w14:paraId="30B3D6B0" w14:textId="77777777" w:rsidTr="003D207B">
        <w:tc>
          <w:tcPr>
            <w:tcW w:w="2127" w:type="dxa"/>
          </w:tcPr>
          <w:p w14:paraId="367DAA3A" w14:textId="77777777" w:rsidR="003D207B" w:rsidRPr="00DA6882" w:rsidRDefault="003D207B" w:rsidP="009D057C">
            <w:pPr>
              <w:jc w:val="center"/>
              <w:rPr>
                <w:rFonts w:ascii="Calibri" w:hAnsi="Calibri"/>
                <w:b/>
                <w:sz w:val="20"/>
                <w:szCs w:val="20"/>
              </w:rPr>
            </w:pPr>
            <w:r>
              <w:rPr>
                <w:rFonts w:ascii="Calibri" w:hAnsi="Calibri"/>
                <w:b/>
                <w:sz w:val="20"/>
                <w:szCs w:val="20"/>
              </w:rPr>
              <w:t>I</w:t>
            </w:r>
            <w:r w:rsidRPr="00DA6882">
              <w:rPr>
                <w:rFonts w:ascii="Calibri" w:hAnsi="Calibri"/>
                <w:b/>
                <w:sz w:val="20"/>
                <w:szCs w:val="20"/>
              </w:rPr>
              <w:t>nstitution</w:t>
            </w:r>
            <w:r>
              <w:rPr>
                <w:rFonts w:ascii="Calibri" w:hAnsi="Calibri"/>
                <w:b/>
                <w:sz w:val="20"/>
                <w:szCs w:val="20"/>
              </w:rPr>
              <w:t xml:space="preserve"> Type</w:t>
            </w:r>
          </w:p>
        </w:tc>
        <w:tc>
          <w:tcPr>
            <w:tcW w:w="1701" w:type="dxa"/>
          </w:tcPr>
          <w:p w14:paraId="0DF8354F" w14:textId="77777777" w:rsidR="003D207B" w:rsidRPr="00DA6882" w:rsidRDefault="003D207B" w:rsidP="009D057C">
            <w:pPr>
              <w:jc w:val="center"/>
              <w:rPr>
                <w:rFonts w:ascii="Calibri" w:hAnsi="Calibri"/>
                <w:b/>
                <w:sz w:val="20"/>
                <w:szCs w:val="20"/>
              </w:rPr>
            </w:pPr>
            <w:r>
              <w:rPr>
                <w:rFonts w:ascii="Calibri" w:hAnsi="Calibri"/>
                <w:b/>
                <w:sz w:val="20"/>
                <w:szCs w:val="20"/>
              </w:rPr>
              <w:t>Ancient</w:t>
            </w:r>
          </w:p>
        </w:tc>
        <w:tc>
          <w:tcPr>
            <w:tcW w:w="1417" w:type="dxa"/>
          </w:tcPr>
          <w:p w14:paraId="0621E10F" w14:textId="77777777" w:rsidR="003D207B" w:rsidRPr="00DA6882" w:rsidRDefault="003D207B" w:rsidP="009D057C">
            <w:pPr>
              <w:jc w:val="center"/>
              <w:rPr>
                <w:rFonts w:ascii="Calibri" w:hAnsi="Calibri"/>
                <w:b/>
                <w:sz w:val="20"/>
                <w:szCs w:val="20"/>
              </w:rPr>
            </w:pPr>
            <w:r>
              <w:rPr>
                <w:rFonts w:ascii="Calibri" w:hAnsi="Calibri"/>
                <w:b/>
                <w:sz w:val="20"/>
                <w:szCs w:val="20"/>
              </w:rPr>
              <w:t>Red Brick</w:t>
            </w:r>
          </w:p>
        </w:tc>
        <w:tc>
          <w:tcPr>
            <w:tcW w:w="1418" w:type="dxa"/>
          </w:tcPr>
          <w:p w14:paraId="5CC3A941" w14:textId="77777777" w:rsidR="003D207B" w:rsidRPr="00DA6882" w:rsidRDefault="003D207B" w:rsidP="009D057C">
            <w:pPr>
              <w:jc w:val="center"/>
              <w:rPr>
                <w:rFonts w:ascii="Calibri" w:hAnsi="Calibri"/>
                <w:b/>
                <w:sz w:val="20"/>
                <w:szCs w:val="20"/>
              </w:rPr>
            </w:pPr>
            <w:r>
              <w:rPr>
                <w:rFonts w:ascii="Calibri" w:hAnsi="Calibri"/>
                <w:b/>
                <w:sz w:val="20"/>
                <w:szCs w:val="20"/>
              </w:rPr>
              <w:t>Plate Glass</w:t>
            </w:r>
          </w:p>
        </w:tc>
        <w:tc>
          <w:tcPr>
            <w:tcW w:w="1417" w:type="dxa"/>
          </w:tcPr>
          <w:p w14:paraId="59411447" w14:textId="77777777" w:rsidR="003D207B" w:rsidRPr="00DA6882" w:rsidRDefault="003D207B" w:rsidP="009D057C">
            <w:pPr>
              <w:jc w:val="center"/>
              <w:rPr>
                <w:rFonts w:ascii="Calibri" w:hAnsi="Calibri"/>
                <w:b/>
                <w:sz w:val="20"/>
                <w:szCs w:val="20"/>
              </w:rPr>
            </w:pPr>
            <w:r>
              <w:rPr>
                <w:rFonts w:ascii="Calibri" w:hAnsi="Calibri"/>
                <w:b/>
                <w:sz w:val="20"/>
                <w:szCs w:val="20"/>
              </w:rPr>
              <w:t>Post 1992</w:t>
            </w:r>
          </w:p>
        </w:tc>
      </w:tr>
      <w:tr w:rsidR="003D207B" w:rsidRPr="00DA6882" w14:paraId="3A8486C4" w14:textId="77777777" w:rsidTr="003D207B">
        <w:tc>
          <w:tcPr>
            <w:tcW w:w="2127" w:type="dxa"/>
          </w:tcPr>
          <w:p w14:paraId="7E3FF12E" w14:textId="77777777" w:rsidR="003D207B" w:rsidRPr="00DA6882" w:rsidRDefault="003D207B" w:rsidP="009D057C">
            <w:pPr>
              <w:jc w:val="center"/>
              <w:rPr>
                <w:rFonts w:ascii="Calibri" w:hAnsi="Calibri"/>
                <w:sz w:val="20"/>
                <w:szCs w:val="20"/>
              </w:rPr>
            </w:pPr>
            <w:r>
              <w:rPr>
                <w:rFonts w:ascii="Calibri" w:hAnsi="Calibri"/>
                <w:sz w:val="20"/>
                <w:szCs w:val="20"/>
              </w:rPr>
              <w:t>No. institutions</w:t>
            </w:r>
          </w:p>
        </w:tc>
        <w:tc>
          <w:tcPr>
            <w:tcW w:w="1701" w:type="dxa"/>
          </w:tcPr>
          <w:p w14:paraId="76146A58" w14:textId="77777777" w:rsidR="003D207B" w:rsidRPr="00DA6882" w:rsidRDefault="003D207B" w:rsidP="009D057C">
            <w:pPr>
              <w:jc w:val="center"/>
              <w:rPr>
                <w:rFonts w:ascii="Calibri" w:hAnsi="Calibri"/>
                <w:sz w:val="20"/>
                <w:szCs w:val="20"/>
              </w:rPr>
            </w:pPr>
            <w:r>
              <w:rPr>
                <w:rFonts w:ascii="Calibri" w:hAnsi="Calibri"/>
                <w:sz w:val="20"/>
                <w:szCs w:val="20"/>
              </w:rPr>
              <w:t>1</w:t>
            </w:r>
          </w:p>
        </w:tc>
        <w:tc>
          <w:tcPr>
            <w:tcW w:w="1417" w:type="dxa"/>
          </w:tcPr>
          <w:p w14:paraId="08409CE5" w14:textId="77777777" w:rsidR="003D207B" w:rsidRDefault="003D207B" w:rsidP="009D057C">
            <w:pPr>
              <w:jc w:val="center"/>
              <w:rPr>
                <w:rFonts w:ascii="Calibri" w:hAnsi="Calibri"/>
                <w:sz w:val="20"/>
                <w:szCs w:val="20"/>
              </w:rPr>
            </w:pPr>
            <w:r>
              <w:rPr>
                <w:rFonts w:ascii="Calibri" w:hAnsi="Calibri"/>
                <w:sz w:val="20"/>
                <w:szCs w:val="20"/>
              </w:rPr>
              <w:t>6</w:t>
            </w:r>
          </w:p>
        </w:tc>
        <w:tc>
          <w:tcPr>
            <w:tcW w:w="1418" w:type="dxa"/>
          </w:tcPr>
          <w:p w14:paraId="31CFB876" w14:textId="77777777" w:rsidR="003D207B" w:rsidRDefault="003D207B" w:rsidP="009D057C">
            <w:pPr>
              <w:jc w:val="center"/>
              <w:rPr>
                <w:rFonts w:ascii="Calibri" w:hAnsi="Calibri"/>
                <w:sz w:val="20"/>
                <w:szCs w:val="20"/>
              </w:rPr>
            </w:pPr>
            <w:r>
              <w:rPr>
                <w:rFonts w:ascii="Calibri" w:hAnsi="Calibri"/>
                <w:sz w:val="20"/>
                <w:szCs w:val="20"/>
              </w:rPr>
              <w:t>2</w:t>
            </w:r>
          </w:p>
        </w:tc>
        <w:tc>
          <w:tcPr>
            <w:tcW w:w="1417" w:type="dxa"/>
          </w:tcPr>
          <w:p w14:paraId="08E45459" w14:textId="77777777" w:rsidR="003D207B" w:rsidRDefault="003D207B" w:rsidP="009D057C">
            <w:pPr>
              <w:jc w:val="center"/>
              <w:rPr>
                <w:rFonts w:ascii="Calibri" w:hAnsi="Calibri"/>
                <w:sz w:val="20"/>
                <w:szCs w:val="20"/>
              </w:rPr>
            </w:pPr>
            <w:r>
              <w:rPr>
                <w:rFonts w:ascii="Calibri" w:hAnsi="Calibri"/>
                <w:sz w:val="20"/>
                <w:szCs w:val="20"/>
              </w:rPr>
              <w:t>3</w:t>
            </w:r>
          </w:p>
        </w:tc>
      </w:tr>
      <w:tr w:rsidR="003D207B" w:rsidRPr="00DA6882" w14:paraId="617656B9" w14:textId="77777777" w:rsidTr="003D207B">
        <w:tc>
          <w:tcPr>
            <w:tcW w:w="2127" w:type="dxa"/>
          </w:tcPr>
          <w:p w14:paraId="0932DC08" w14:textId="77777777" w:rsidR="003D207B" w:rsidRPr="00DA6882" w:rsidRDefault="003D207B" w:rsidP="009D057C">
            <w:pPr>
              <w:jc w:val="center"/>
              <w:rPr>
                <w:rFonts w:ascii="Calibri" w:hAnsi="Calibri"/>
                <w:sz w:val="20"/>
                <w:szCs w:val="20"/>
              </w:rPr>
            </w:pPr>
            <w:r>
              <w:rPr>
                <w:rFonts w:ascii="Calibri" w:hAnsi="Calibri"/>
                <w:sz w:val="20"/>
                <w:szCs w:val="20"/>
              </w:rPr>
              <w:t>No. interviewees</w:t>
            </w:r>
          </w:p>
        </w:tc>
        <w:tc>
          <w:tcPr>
            <w:tcW w:w="1701" w:type="dxa"/>
          </w:tcPr>
          <w:p w14:paraId="7F2FD5AD" w14:textId="77777777" w:rsidR="003D207B" w:rsidRPr="00DA6882" w:rsidRDefault="003D207B" w:rsidP="009D057C">
            <w:pPr>
              <w:jc w:val="center"/>
              <w:rPr>
                <w:rFonts w:ascii="Calibri" w:hAnsi="Calibri"/>
                <w:sz w:val="20"/>
                <w:szCs w:val="20"/>
              </w:rPr>
            </w:pPr>
            <w:r>
              <w:rPr>
                <w:rFonts w:ascii="Calibri" w:hAnsi="Calibri"/>
                <w:sz w:val="20"/>
                <w:szCs w:val="20"/>
              </w:rPr>
              <w:t>8</w:t>
            </w:r>
          </w:p>
        </w:tc>
        <w:tc>
          <w:tcPr>
            <w:tcW w:w="1417" w:type="dxa"/>
          </w:tcPr>
          <w:p w14:paraId="69254595" w14:textId="77777777" w:rsidR="003D207B" w:rsidRDefault="003D207B" w:rsidP="009D057C">
            <w:pPr>
              <w:jc w:val="center"/>
              <w:rPr>
                <w:rFonts w:ascii="Calibri" w:hAnsi="Calibri"/>
                <w:sz w:val="20"/>
                <w:szCs w:val="20"/>
              </w:rPr>
            </w:pPr>
            <w:r>
              <w:rPr>
                <w:rFonts w:ascii="Calibri" w:hAnsi="Calibri"/>
                <w:sz w:val="20"/>
                <w:szCs w:val="20"/>
              </w:rPr>
              <w:t>8</w:t>
            </w:r>
          </w:p>
        </w:tc>
        <w:tc>
          <w:tcPr>
            <w:tcW w:w="1418" w:type="dxa"/>
          </w:tcPr>
          <w:p w14:paraId="55EB4928" w14:textId="77777777" w:rsidR="003D207B" w:rsidRDefault="003D207B" w:rsidP="009D057C">
            <w:pPr>
              <w:jc w:val="center"/>
              <w:rPr>
                <w:rFonts w:ascii="Calibri" w:hAnsi="Calibri"/>
                <w:sz w:val="20"/>
                <w:szCs w:val="20"/>
              </w:rPr>
            </w:pPr>
            <w:r>
              <w:rPr>
                <w:rFonts w:ascii="Calibri" w:hAnsi="Calibri"/>
                <w:sz w:val="20"/>
                <w:szCs w:val="20"/>
              </w:rPr>
              <w:t>2</w:t>
            </w:r>
          </w:p>
        </w:tc>
        <w:tc>
          <w:tcPr>
            <w:tcW w:w="1417" w:type="dxa"/>
          </w:tcPr>
          <w:p w14:paraId="3E62702D" w14:textId="77777777" w:rsidR="003D207B" w:rsidRDefault="003D207B" w:rsidP="009D057C">
            <w:pPr>
              <w:jc w:val="center"/>
              <w:rPr>
                <w:rFonts w:ascii="Calibri" w:hAnsi="Calibri"/>
                <w:sz w:val="20"/>
                <w:szCs w:val="20"/>
              </w:rPr>
            </w:pPr>
            <w:r>
              <w:rPr>
                <w:rFonts w:ascii="Calibri" w:hAnsi="Calibri"/>
                <w:sz w:val="20"/>
                <w:szCs w:val="20"/>
              </w:rPr>
              <w:t>3</w:t>
            </w:r>
          </w:p>
        </w:tc>
      </w:tr>
      <w:tr w:rsidR="003D207B" w:rsidRPr="00DA6882" w14:paraId="51B0B2E6" w14:textId="77777777" w:rsidTr="003D207B">
        <w:tc>
          <w:tcPr>
            <w:tcW w:w="2127" w:type="dxa"/>
          </w:tcPr>
          <w:p w14:paraId="13E9D206" w14:textId="77777777" w:rsidR="003D207B" w:rsidRPr="00DA6882" w:rsidRDefault="002E2ACE" w:rsidP="009D057C">
            <w:pPr>
              <w:jc w:val="center"/>
              <w:rPr>
                <w:rFonts w:ascii="Calibri" w:hAnsi="Calibri"/>
                <w:sz w:val="20"/>
                <w:szCs w:val="20"/>
              </w:rPr>
            </w:pPr>
            <w:r>
              <w:rPr>
                <w:rFonts w:ascii="Calibri" w:hAnsi="Calibri"/>
                <w:sz w:val="20"/>
                <w:szCs w:val="20"/>
              </w:rPr>
              <w:t>No. on</w:t>
            </w:r>
            <w:r w:rsidR="003D207B">
              <w:rPr>
                <w:rFonts w:ascii="Calibri" w:hAnsi="Calibri"/>
                <w:sz w:val="20"/>
                <w:szCs w:val="20"/>
              </w:rPr>
              <w:t xml:space="preserve"> Teaching only contracts</w:t>
            </w:r>
          </w:p>
        </w:tc>
        <w:tc>
          <w:tcPr>
            <w:tcW w:w="1701" w:type="dxa"/>
          </w:tcPr>
          <w:p w14:paraId="0C2AE95A" w14:textId="77777777" w:rsidR="003D207B" w:rsidRPr="00DA6882" w:rsidRDefault="00A015E3" w:rsidP="009D057C">
            <w:pPr>
              <w:jc w:val="center"/>
              <w:rPr>
                <w:rFonts w:ascii="Calibri" w:hAnsi="Calibri"/>
                <w:sz w:val="20"/>
                <w:szCs w:val="20"/>
              </w:rPr>
            </w:pPr>
            <w:r>
              <w:rPr>
                <w:rFonts w:ascii="Calibri" w:hAnsi="Calibri"/>
                <w:sz w:val="20"/>
                <w:szCs w:val="20"/>
              </w:rPr>
              <w:t>6</w:t>
            </w:r>
          </w:p>
        </w:tc>
        <w:tc>
          <w:tcPr>
            <w:tcW w:w="1417" w:type="dxa"/>
          </w:tcPr>
          <w:p w14:paraId="6546EBDF" w14:textId="77777777" w:rsidR="003D207B" w:rsidRDefault="00A015E3" w:rsidP="009D057C">
            <w:pPr>
              <w:jc w:val="center"/>
              <w:rPr>
                <w:rFonts w:ascii="Calibri" w:hAnsi="Calibri"/>
                <w:sz w:val="20"/>
                <w:szCs w:val="20"/>
              </w:rPr>
            </w:pPr>
            <w:r>
              <w:rPr>
                <w:rFonts w:ascii="Calibri" w:hAnsi="Calibri"/>
                <w:sz w:val="20"/>
                <w:szCs w:val="20"/>
              </w:rPr>
              <w:t>6</w:t>
            </w:r>
          </w:p>
        </w:tc>
        <w:tc>
          <w:tcPr>
            <w:tcW w:w="1418" w:type="dxa"/>
          </w:tcPr>
          <w:p w14:paraId="6CD3C378" w14:textId="77777777" w:rsidR="003D207B" w:rsidRDefault="00A015E3" w:rsidP="009D057C">
            <w:pPr>
              <w:jc w:val="center"/>
              <w:rPr>
                <w:rFonts w:ascii="Calibri" w:hAnsi="Calibri"/>
                <w:sz w:val="20"/>
                <w:szCs w:val="20"/>
              </w:rPr>
            </w:pPr>
            <w:r>
              <w:rPr>
                <w:rFonts w:ascii="Calibri" w:hAnsi="Calibri"/>
                <w:sz w:val="20"/>
                <w:szCs w:val="20"/>
              </w:rPr>
              <w:t>2</w:t>
            </w:r>
          </w:p>
        </w:tc>
        <w:tc>
          <w:tcPr>
            <w:tcW w:w="1417" w:type="dxa"/>
          </w:tcPr>
          <w:p w14:paraId="12FEBD4B" w14:textId="77777777" w:rsidR="003D207B" w:rsidRDefault="00A015E3" w:rsidP="009D057C">
            <w:pPr>
              <w:jc w:val="center"/>
              <w:rPr>
                <w:rFonts w:ascii="Calibri" w:hAnsi="Calibri"/>
                <w:sz w:val="20"/>
                <w:szCs w:val="20"/>
              </w:rPr>
            </w:pPr>
            <w:r>
              <w:rPr>
                <w:rFonts w:ascii="Calibri" w:hAnsi="Calibri"/>
                <w:sz w:val="20"/>
                <w:szCs w:val="20"/>
              </w:rPr>
              <w:t>1</w:t>
            </w:r>
          </w:p>
        </w:tc>
      </w:tr>
      <w:tr w:rsidR="003D207B" w:rsidRPr="00DA6882" w14:paraId="35C28BB8" w14:textId="77777777" w:rsidTr="003D207B">
        <w:tc>
          <w:tcPr>
            <w:tcW w:w="2127" w:type="dxa"/>
          </w:tcPr>
          <w:p w14:paraId="02CBF46E" w14:textId="77777777" w:rsidR="003D207B" w:rsidRPr="00DA6882" w:rsidRDefault="00A015E3" w:rsidP="009D057C">
            <w:pPr>
              <w:jc w:val="center"/>
              <w:rPr>
                <w:rFonts w:ascii="Calibri" w:hAnsi="Calibri"/>
                <w:sz w:val="20"/>
                <w:szCs w:val="20"/>
              </w:rPr>
            </w:pPr>
            <w:r>
              <w:rPr>
                <w:rFonts w:ascii="Calibri" w:hAnsi="Calibri"/>
                <w:sz w:val="20"/>
                <w:szCs w:val="20"/>
              </w:rPr>
              <w:t>SoTL in contract</w:t>
            </w:r>
          </w:p>
        </w:tc>
        <w:tc>
          <w:tcPr>
            <w:tcW w:w="1701" w:type="dxa"/>
          </w:tcPr>
          <w:p w14:paraId="656CCF63" w14:textId="77777777" w:rsidR="003D207B" w:rsidRPr="00DA6882" w:rsidRDefault="00A015E3" w:rsidP="009D057C">
            <w:pPr>
              <w:jc w:val="center"/>
              <w:rPr>
                <w:rFonts w:ascii="Calibri" w:hAnsi="Calibri"/>
                <w:sz w:val="20"/>
                <w:szCs w:val="20"/>
              </w:rPr>
            </w:pPr>
            <w:r>
              <w:rPr>
                <w:rFonts w:ascii="Calibri" w:hAnsi="Calibri"/>
                <w:sz w:val="20"/>
                <w:szCs w:val="20"/>
              </w:rPr>
              <w:t>6</w:t>
            </w:r>
          </w:p>
        </w:tc>
        <w:tc>
          <w:tcPr>
            <w:tcW w:w="1417" w:type="dxa"/>
          </w:tcPr>
          <w:p w14:paraId="1A5D0859" w14:textId="77777777" w:rsidR="003D207B" w:rsidRDefault="00A015E3" w:rsidP="009D057C">
            <w:pPr>
              <w:jc w:val="center"/>
              <w:rPr>
                <w:rFonts w:ascii="Calibri" w:hAnsi="Calibri"/>
                <w:sz w:val="20"/>
                <w:szCs w:val="20"/>
              </w:rPr>
            </w:pPr>
            <w:r>
              <w:rPr>
                <w:rFonts w:ascii="Calibri" w:hAnsi="Calibri"/>
                <w:sz w:val="20"/>
                <w:szCs w:val="20"/>
              </w:rPr>
              <w:t>5</w:t>
            </w:r>
          </w:p>
        </w:tc>
        <w:tc>
          <w:tcPr>
            <w:tcW w:w="1418" w:type="dxa"/>
          </w:tcPr>
          <w:p w14:paraId="7E1600B7" w14:textId="77777777" w:rsidR="003D207B" w:rsidRDefault="00A015E3" w:rsidP="009D057C">
            <w:pPr>
              <w:jc w:val="center"/>
              <w:rPr>
                <w:rFonts w:ascii="Calibri" w:hAnsi="Calibri"/>
                <w:sz w:val="20"/>
                <w:szCs w:val="20"/>
              </w:rPr>
            </w:pPr>
            <w:r>
              <w:rPr>
                <w:rFonts w:ascii="Calibri" w:hAnsi="Calibri"/>
                <w:sz w:val="20"/>
                <w:szCs w:val="20"/>
              </w:rPr>
              <w:t>1</w:t>
            </w:r>
          </w:p>
        </w:tc>
        <w:tc>
          <w:tcPr>
            <w:tcW w:w="1417" w:type="dxa"/>
          </w:tcPr>
          <w:p w14:paraId="2D266A23" w14:textId="77777777" w:rsidR="003D207B" w:rsidRDefault="00A015E3" w:rsidP="009D057C">
            <w:pPr>
              <w:jc w:val="center"/>
              <w:rPr>
                <w:rFonts w:ascii="Calibri" w:hAnsi="Calibri"/>
                <w:sz w:val="20"/>
                <w:szCs w:val="20"/>
              </w:rPr>
            </w:pPr>
            <w:r>
              <w:rPr>
                <w:rFonts w:ascii="Calibri" w:hAnsi="Calibri"/>
                <w:sz w:val="20"/>
                <w:szCs w:val="20"/>
              </w:rPr>
              <w:t>2</w:t>
            </w:r>
          </w:p>
        </w:tc>
      </w:tr>
    </w:tbl>
    <w:p w14:paraId="0376E4DE" w14:textId="77777777" w:rsidR="00CF5079" w:rsidRDefault="00CF5079" w:rsidP="00BE3768">
      <w:pPr>
        <w:spacing w:before="240" w:line="480" w:lineRule="auto"/>
      </w:pPr>
    </w:p>
    <w:p w14:paraId="0336D605" w14:textId="77777777" w:rsidR="005761EE" w:rsidRDefault="00B812E0" w:rsidP="00BE3768">
      <w:pPr>
        <w:spacing w:before="240" w:line="480" w:lineRule="auto"/>
      </w:pPr>
      <w:r>
        <w:t>I</w:t>
      </w:r>
      <w:r w:rsidR="00E15F1A">
        <w:t xml:space="preserve">nterviews were fully transcribed, and the transcripts were </w:t>
      </w:r>
      <w:r w:rsidR="004B5292">
        <w:t>analysed to</w:t>
      </w:r>
      <w:r w:rsidR="00E15F1A">
        <w:t xml:space="preserve"> </w:t>
      </w:r>
      <w:r w:rsidR="007E0950">
        <w:t>determine</w:t>
      </w:r>
      <w:r w:rsidR="004B5292">
        <w:t xml:space="preserve"> the existence of Threshold Concepts</w:t>
      </w:r>
      <w:r w:rsidR="00A015E3">
        <w:t xml:space="preserve">, using the criteria </w:t>
      </w:r>
      <w:r w:rsidR="00A015E3">
        <w:rPr>
          <w:i/>
        </w:rPr>
        <w:t>Transformative, Irreversible, Integrated</w:t>
      </w:r>
      <w:r w:rsidR="009B054C">
        <w:t xml:space="preserve">, </w:t>
      </w:r>
      <w:r w:rsidR="009B054C">
        <w:rPr>
          <w:i/>
        </w:rPr>
        <w:t>Troublesome</w:t>
      </w:r>
      <w:r w:rsidR="00A015E3">
        <w:rPr>
          <w:i/>
        </w:rPr>
        <w:t xml:space="preserve"> </w:t>
      </w:r>
      <w:r w:rsidR="00A015E3">
        <w:t xml:space="preserve">and </w:t>
      </w:r>
      <w:r w:rsidR="00A015E3">
        <w:rPr>
          <w:i/>
        </w:rPr>
        <w:t>Bounded</w:t>
      </w:r>
      <w:r w:rsidR="009B054C">
        <w:t xml:space="preserve"> </w:t>
      </w:r>
      <w:r w:rsidR="009B054C">
        <w:fldChar w:fldCharType="begin"/>
      </w:r>
      <w:r w:rsidR="009B054C">
        <w:instrText xml:space="preserve"> ADDIN ZOTERO_ITEM CSL_CITATION {"citationID":"1tu7pith5h","properties":{"formattedCitation":"(Meyer &amp; Land, 2003)","plainCitation":"(Meyer &amp; Land, 2003)"},"citationItems":[{"id":14,"uris":["http://zotero.org/users/386570/items/2SHX6QDS"],"uri":["http://zotero.org/users/386570/items/2SHX6QDS"],"itemData":{"id":14,"type":"chapter","title":"Threshold concepts and troublesome knowledge: linkages to ways of thinking and practising within the disciplines","container-title":"Improving student learning: Improving student learning theory and practice - Ten Years On.","publisher":"Oxford Centre for Staff and Learning Development","publisher-place":"Oxford","edition":"Rust, C. (Ed)","event-place":"Oxford","author":[{"family":"Meyer","given":"Jan H. F."},{"family":"Land","given":"Ray"}],"issued":{"date-parts":[["2003"]]}}}],"schema":"https://github.com/citation-style-language/schema/raw/master/csl-citation.json"} </w:instrText>
      </w:r>
      <w:r w:rsidR="009B054C">
        <w:fldChar w:fldCharType="separate"/>
      </w:r>
      <w:r w:rsidR="009B054C" w:rsidRPr="009B054C">
        <w:rPr>
          <w:rFonts w:ascii="Calibri" w:hAnsi="Calibri"/>
        </w:rPr>
        <w:t>(Meyer &amp; Land, 2003)</w:t>
      </w:r>
      <w:r w:rsidR="009B054C">
        <w:fldChar w:fldCharType="end"/>
      </w:r>
      <w:r w:rsidR="004B5292">
        <w:t>.</w:t>
      </w:r>
      <w:r w:rsidR="007E0950">
        <w:t xml:space="preserve"> </w:t>
      </w:r>
      <w:r w:rsidR="00BE3768">
        <w:t xml:space="preserve">Trigwell, Martin, Benjamin and Prosser’s </w:t>
      </w:r>
      <w:r w:rsidR="00BE3768">
        <w:fldChar w:fldCharType="begin"/>
      </w:r>
      <w:r w:rsidR="009B054C">
        <w:instrText xml:space="preserve"> ADDIN ZOTERO_ITEM CSL_CITATION {"citationID":"1uddnajreg","properties":{"formattedCitation":"(2000)","plainCitation":"(2000)"},"citationItems":[{"id":104,"uris":["http://zotero.org/users/386570/items/CFNXGIMZ"],"uri":["http://zotero.org/users/386570/items/CFNXGIMZ"],"itemData":{"id":104,"type":"article-journal","title":"Scholarship of Teaching: a model","container-title":"Higher Education Research &amp; Development","page":"155-168","volume":"19","issue":"2","source":"EBSCOhost","abstract":"In this paper we present a model which describes the scholarship of teaching. We first explore what scholarship of teaching means, both in terms of the way it is represented in the literature and also the way it is understood by academic staff themselves. From this information, we derive a multi-dimensional model of scholarship of teaching which captures the variation found in the literature and empirical studies. In the final section, we illustrate how the model is used in informing the design of programs for development of the scholarship of teaching in universities.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Abstracts.)","ISSN":"07294360","call-number":"3839399","shortTitle":"Scholarship of Teaching","author":[{"family":"Trigwell","given":"Keith"},{"family":"Martin","given":"Elaine"},{"family":"Benjamin","given":"Joan"},{"family":"Prosser","given":"Mike"}],"issued":{"date-parts":[["2000",7]]}},"suppress-author":true}],"schema":"https://github.com/citation-style-language/schema/raw/master/csl-citation.json"} </w:instrText>
      </w:r>
      <w:r w:rsidR="00BE3768">
        <w:fldChar w:fldCharType="separate"/>
      </w:r>
      <w:r w:rsidR="00BE3768" w:rsidRPr="00BE3768">
        <w:rPr>
          <w:rFonts w:ascii="Calibri" w:hAnsi="Calibri"/>
        </w:rPr>
        <w:t>(2000)</w:t>
      </w:r>
      <w:r w:rsidR="00BE3768">
        <w:fldChar w:fldCharType="end"/>
      </w:r>
      <w:r w:rsidR="009B054C">
        <w:t xml:space="preserve"> Model of Scholarship (Table 2</w:t>
      </w:r>
      <w:r w:rsidR="004B5292">
        <w:t>) was used as an analytical framework, using the proposed</w:t>
      </w:r>
      <w:r w:rsidR="00BE3768">
        <w:t xml:space="preserve"> </w:t>
      </w:r>
      <w:r w:rsidR="004B5292">
        <w:t xml:space="preserve">dimensions </w:t>
      </w:r>
      <w:r w:rsidR="00BE3768">
        <w:t>(</w:t>
      </w:r>
      <w:r w:rsidR="00BE3768" w:rsidRPr="007020AA">
        <w:rPr>
          <w:i/>
        </w:rPr>
        <w:t>Informed, Reflection, Communication, Conception</w:t>
      </w:r>
      <w:r w:rsidR="00BE3768">
        <w:t>)</w:t>
      </w:r>
      <w:r w:rsidR="004B5292">
        <w:t xml:space="preserve"> to uncover potential Threshold Concepts.</w:t>
      </w:r>
    </w:p>
    <w:p w14:paraId="69BD2839" w14:textId="77777777" w:rsidR="005761EE" w:rsidRPr="00404C32" w:rsidRDefault="00404C32" w:rsidP="00D47D07">
      <w:pPr>
        <w:spacing w:after="0" w:line="480" w:lineRule="auto"/>
        <w:jc w:val="center"/>
        <w:rPr>
          <w:sz w:val="18"/>
          <w:szCs w:val="18"/>
        </w:rPr>
      </w:pPr>
      <w:r>
        <w:rPr>
          <w:sz w:val="18"/>
          <w:szCs w:val="18"/>
        </w:rPr>
        <w:t>Table</w:t>
      </w:r>
      <w:r w:rsidRPr="00BE3768">
        <w:rPr>
          <w:sz w:val="18"/>
          <w:szCs w:val="18"/>
        </w:rPr>
        <w:t xml:space="preserve">. </w:t>
      </w:r>
      <w:r w:rsidR="009B054C">
        <w:rPr>
          <w:sz w:val="18"/>
          <w:szCs w:val="18"/>
        </w:rPr>
        <w:t>2</w:t>
      </w:r>
      <w:r w:rsidRPr="00BE3768">
        <w:rPr>
          <w:sz w:val="18"/>
          <w:szCs w:val="18"/>
        </w:rPr>
        <w:t xml:space="preserve">. Four dimensions of scholarship of teaching </w:t>
      </w:r>
      <w:r w:rsidRPr="00BE3768">
        <w:rPr>
          <w:sz w:val="18"/>
          <w:szCs w:val="18"/>
        </w:rPr>
        <w:fldChar w:fldCharType="begin"/>
      </w:r>
      <w:r w:rsidR="009B054C">
        <w:rPr>
          <w:sz w:val="18"/>
          <w:szCs w:val="18"/>
        </w:rPr>
        <w:instrText xml:space="preserve"> ADDIN ZOTERO_ITEM CSL_CITATION {"citationID":"2qtcbvq4mf","properties":{"formattedCitation":"(Trigwell et al., 2000, p. 163)","plainCitation":"(Trigwell et al., 2000, p. 163)"},"citationItems":[{"id":104,"uris":["http://zotero.org/users/386570/items/CFNXGIMZ"],"uri":["http://zotero.org/users/386570/items/CFNXGIMZ"],"itemData":{"id":104,"type":"article-journal","title":"Scholarship of Teaching: a model","container-title":"Higher Education Research &amp; Development","page":"155-168","volume":"19","issue":"2","source":"EBSCOhost","abstract":"In this paper we present a model which describes the scholarship of teaching. We first explore what scholarship of teaching means, both in terms of the way it is represented in the literature and also the way it is understood by academic staff themselves. From this information, we derive a multi-dimensional model of scholarship of teaching which captures the variation found in the literature and empirical studies. In the final section, we illustrate how the model is used in informing the design of programs for development of the scholarship of teaching in universities.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Abstracts.)","ISSN":"07294360","call-number":"3839399","shortTitle":"Scholarship of Teaching","author":[{"family":"Trigwell","given":"Keith"},{"family":"Martin","given":"Elaine"},{"family":"Benjamin","given":"Joan"},{"family":"Prosser","given":"Mike"}],"issued":{"date-parts":[["2000",7]]}},"locator":"163","label":"page"}],"schema":"https://github.com/citation-style-language/schema/raw/master/csl-citation.json"} </w:instrText>
      </w:r>
      <w:r w:rsidRPr="00BE3768">
        <w:rPr>
          <w:sz w:val="18"/>
          <w:szCs w:val="18"/>
        </w:rPr>
        <w:fldChar w:fldCharType="separate"/>
      </w:r>
      <w:r w:rsidRPr="00BE3768">
        <w:rPr>
          <w:sz w:val="18"/>
          <w:szCs w:val="18"/>
        </w:rPr>
        <w:t>(Trigwell et al., 2000, p. 163)</w:t>
      </w:r>
      <w:r w:rsidRPr="00BE3768">
        <w:rPr>
          <w:sz w:val="18"/>
          <w:szCs w:val="18"/>
        </w:rPr>
        <w:fldChar w:fldCharType="end"/>
      </w:r>
    </w:p>
    <w:tbl>
      <w:tblPr>
        <w:tblStyle w:val="TableGrid"/>
        <w:tblW w:w="0" w:type="auto"/>
        <w:tblLook w:val="04A0" w:firstRow="1" w:lastRow="0" w:firstColumn="1" w:lastColumn="0" w:noHBand="0" w:noVBand="1"/>
      </w:tblPr>
      <w:tblGrid>
        <w:gridCol w:w="689"/>
        <w:gridCol w:w="1687"/>
        <w:gridCol w:w="1701"/>
        <w:gridCol w:w="2410"/>
        <w:gridCol w:w="2029"/>
      </w:tblGrid>
      <w:tr w:rsidR="005761EE" w14:paraId="5D643C29" w14:textId="77777777" w:rsidTr="00AD5970">
        <w:tc>
          <w:tcPr>
            <w:tcW w:w="689" w:type="dxa"/>
          </w:tcPr>
          <w:p w14:paraId="18BD0B92" w14:textId="77777777" w:rsidR="005761EE" w:rsidRPr="00FF7F12" w:rsidRDefault="005761EE" w:rsidP="00AD5970">
            <w:pPr>
              <w:pStyle w:val="Heading2"/>
              <w:spacing w:before="2" w:after="2" w:line="360" w:lineRule="auto"/>
              <w:outlineLvl w:val="1"/>
              <w:rPr>
                <w:rFonts w:asciiTheme="minorHAnsi" w:hAnsiTheme="minorHAnsi"/>
                <w:sz w:val="20"/>
                <w:lang w:val="en-GB"/>
              </w:rPr>
            </w:pPr>
            <w:r w:rsidRPr="00FF7F12">
              <w:rPr>
                <w:rFonts w:asciiTheme="minorHAnsi" w:hAnsiTheme="minorHAnsi"/>
                <w:sz w:val="20"/>
                <w:lang w:val="en-GB"/>
              </w:rPr>
              <w:t>Level</w:t>
            </w:r>
          </w:p>
        </w:tc>
        <w:tc>
          <w:tcPr>
            <w:tcW w:w="1687" w:type="dxa"/>
          </w:tcPr>
          <w:p w14:paraId="2771A9FF" w14:textId="77777777" w:rsidR="005761EE" w:rsidRPr="00FF7F12" w:rsidRDefault="005761EE" w:rsidP="00AD5970">
            <w:pPr>
              <w:pStyle w:val="Heading2"/>
              <w:spacing w:before="2" w:after="2" w:line="360" w:lineRule="auto"/>
              <w:outlineLvl w:val="1"/>
              <w:rPr>
                <w:rFonts w:asciiTheme="minorHAnsi" w:hAnsiTheme="minorHAnsi"/>
                <w:sz w:val="20"/>
                <w:lang w:val="en-GB"/>
              </w:rPr>
            </w:pPr>
            <w:r w:rsidRPr="00FF7F12">
              <w:rPr>
                <w:rFonts w:asciiTheme="minorHAnsi" w:hAnsiTheme="minorHAnsi"/>
                <w:sz w:val="20"/>
                <w:lang w:val="en-GB"/>
              </w:rPr>
              <w:t>Informed (ID)</w:t>
            </w:r>
          </w:p>
        </w:tc>
        <w:tc>
          <w:tcPr>
            <w:tcW w:w="1701" w:type="dxa"/>
          </w:tcPr>
          <w:p w14:paraId="4E9359D4" w14:textId="77777777" w:rsidR="005761EE" w:rsidRPr="00FF7F12" w:rsidRDefault="005761EE" w:rsidP="00AD5970">
            <w:pPr>
              <w:pStyle w:val="Heading2"/>
              <w:spacing w:before="2" w:after="2" w:line="360" w:lineRule="auto"/>
              <w:outlineLvl w:val="1"/>
              <w:rPr>
                <w:rFonts w:asciiTheme="minorHAnsi" w:hAnsiTheme="minorHAnsi"/>
                <w:sz w:val="20"/>
                <w:lang w:val="en-GB"/>
              </w:rPr>
            </w:pPr>
            <w:r w:rsidRPr="00FF7F12">
              <w:rPr>
                <w:rFonts w:asciiTheme="minorHAnsi" w:hAnsiTheme="minorHAnsi"/>
                <w:sz w:val="20"/>
                <w:lang w:val="en-GB"/>
              </w:rPr>
              <w:t>Reflection (RD)</w:t>
            </w:r>
          </w:p>
        </w:tc>
        <w:tc>
          <w:tcPr>
            <w:tcW w:w="2410" w:type="dxa"/>
          </w:tcPr>
          <w:p w14:paraId="05E9EAB8" w14:textId="77777777" w:rsidR="005761EE" w:rsidRPr="00FF7F12" w:rsidRDefault="005761EE" w:rsidP="00AD5970">
            <w:pPr>
              <w:pStyle w:val="Heading2"/>
              <w:spacing w:before="2" w:after="2" w:line="360" w:lineRule="auto"/>
              <w:outlineLvl w:val="1"/>
              <w:rPr>
                <w:rFonts w:asciiTheme="minorHAnsi" w:hAnsiTheme="minorHAnsi"/>
                <w:sz w:val="20"/>
                <w:lang w:val="en-GB"/>
              </w:rPr>
            </w:pPr>
            <w:r w:rsidRPr="00FF7F12">
              <w:rPr>
                <w:rFonts w:asciiTheme="minorHAnsi" w:hAnsiTheme="minorHAnsi"/>
                <w:sz w:val="20"/>
                <w:lang w:val="en-GB"/>
              </w:rPr>
              <w:t>Communication (ComD)</w:t>
            </w:r>
          </w:p>
        </w:tc>
        <w:tc>
          <w:tcPr>
            <w:tcW w:w="2029" w:type="dxa"/>
          </w:tcPr>
          <w:p w14:paraId="79DE3A01" w14:textId="77777777" w:rsidR="005761EE" w:rsidRPr="00FF7F12" w:rsidRDefault="005761EE" w:rsidP="00AD5970">
            <w:pPr>
              <w:pStyle w:val="Heading2"/>
              <w:spacing w:before="2" w:after="2" w:line="360" w:lineRule="auto"/>
              <w:outlineLvl w:val="1"/>
              <w:rPr>
                <w:rFonts w:asciiTheme="minorHAnsi" w:hAnsiTheme="minorHAnsi"/>
                <w:sz w:val="20"/>
                <w:lang w:val="en-GB"/>
              </w:rPr>
            </w:pPr>
            <w:r w:rsidRPr="00FF7F12">
              <w:rPr>
                <w:rFonts w:asciiTheme="minorHAnsi" w:hAnsiTheme="minorHAnsi"/>
                <w:sz w:val="20"/>
                <w:lang w:val="en-GB"/>
              </w:rPr>
              <w:t>Conception (ConD)</w:t>
            </w:r>
          </w:p>
        </w:tc>
      </w:tr>
      <w:tr w:rsidR="005761EE" w14:paraId="4FB072D5" w14:textId="77777777" w:rsidTr="00AD5970">
        <w:tc>
          <w:tcPr>
            <w:tcW w:w="689" w:type="dxa"/>
          </w:tcPr>
          <w:p w14:paraId="6964DE36" w14:textId="77777777" w:rsidR="005761EE" w:rsidRPr="00FF7F12" w:rsidRDefault="005761EE" w:rsidP="00AD5970">
            <w:pPr>
              <w:pStyle w:val="Heading2"/>
              <w:spacing w:before="2" w:after="2"/>
              <w:outlineLvl w:val="1"/>
              <w:rPr>
                <w:rFonts w:asciiTheme="minorHAnsi" w:hAnsiTheme="minorHAnsi"/>
                <w:sz w:val="20"/>
                <w:lang w:val="en-GB"/>
              </w:rPr>
            </w:pPr>
            <w:r w:rsidRPr="00FF7F12">
              <w:rPr>
                <w:rFonts w:asciiTheme="minorHAnsi" w:hAnsiTheme="minorHAnsi"/>
                <w:sz w:val="20"/>
                <w:lang w:val="en-GB"/>
              </w:rPr>
              <w:t>1</w:t>
            </w:r>
          </w:p>
        </w:tc>
        <w:tc>
          <w:tcPr>
            <w:tcW w:w="1687" w:type="dxa"/>
          </w:tcPr>
          <w:p w14:paraId="5DADBE58" w14:textId="77777777" w:rsidR="005761EE" w:rsidRPr="00FF7F12" w:rsidRDefault="005761EE" w:rsidP="00AD5970">
            <w:pPr>
              <w:pStyle w:val="Heading2"/>
              <w:spacing w:before="2" w:after="2"/>
              <w:outlineLvl w:val="1"/>
              <w:rPr>
                <w:rFonts w:asciiTheme="minorHAnsi" w:hAnsiTheme="minorHAnsi"/>
                <w:b w:val="0"/>
                <w:sz w:val="20"/>
                <w:lang w:val="en-GB"/>
              </w:rPr>
            </w:pPr>
            <w:r w:rsidRPr="00FF7F12">
              <w:rPr>
                <w:rFonts w:asciiTheme="minorHAnsi" w:hAnsiTheme="minorHAnsi"/>
                <w:b w:val="0"/>
                <w:sz w:val="20"/>
                <w:lang w:val="en-GB"/>
              </w:rPr>
              <w:t>Uses informal theories of teaching and learning</w:t>
            </w:r>
          </w:p>
        </w:tc>
        <w:tc>
          <w:tcPr>
            <w:tcW w:w="1701" w:type="dxa"/>
          </w:tcPr>
          <w:p w14:paraId="6D6C120E" w14:textId="77777777" w:rsidR="005761EE" w:rsidRPr="00FF7F12" w:rsidRDefault="005761EE" w:rsidP="00AD5970">
            <w:pPr>
              <w:pStyle w:val="Heading2"/>
              <w:spacing w:before="2" w:after="2"/>
              <w:outlineLvl w:val="1"/>
              <w:rPr>
                <w:rFonts w:asciiTheme="minorHAnsi" w:hAnsiTheme="minorHAnsi"/>
                <w:b w:val="0"/>
                <w:sz w:val="20"/>
                <w:lang w:val="en-GB"/>
              </w:rPr>
            </w:pPr>
            <w:r w:rsidRPr="00FF7F12">
              <w:rPr>
                <w:rFonts w:asciiTheme="minorHAnsi" w:hAnsiTheme="minorHAnsi"/>
                <w:b w:val="0"/>
                <w:sz w:val="20"/>
                <w:lang w:val="en-GB"/>
              </w:rPr>
              <w:t>Effectively none, or unfocused reflection</w:t>
            </w:r>
          </w:p>
        </w:tc>
        <w:tc>
          <w:tcPr>
            <w:tcW w:w="2410" w:type="dxa"/>
          </w:tcPr>
          <w:p w14:paraId="65FD85FD" w14:textId="77777777" w:rsidR="005761EE" w:rsidRPr="00FF7F12" w:rsidRDefault="005761EE" w:rsidP="00AD5970">
            <w:pPr>
              <w:rPr>
                <w:sz w:val="20"/>
                <w:szCs w:val="20"/>
                <w:lang w:val="en-GB"/>
              </w:rPr>
            </w:pPr>
            <w:r w:rsidRPr="00FF7F12">
              <w:rPr>
                <w:sz w:val="20"/>
                <w:szCs w:val="20"/>
                <w:lang w:val="en-GB"/>
              </w:rPr>
              <w:t>none</w:t>
            </w:r>
          </w:p>
          <w:p w14:paraId="4A0A321F" w14:textId="77777777" w:rsidR="005761EE" w:rsidRPr="00FF7F12" w:rsidRDefault="005761EE" w:rsidP="00AD5970">
            <w:pPr>
              <w:pStyle w:val="Heading2"/>
              <w:spacing w:before="2" w:after="2"/>
              <w:outlineLvl w:val="1"/>
              <w:rPr>
                <w:rFonts w:asciiTheme="minorHAnsi" w:hAnsiTheme="minorHAnsi"/>
                <w:b w:val="0"/>
                <w:sz w:val="20"/>
                <w:lang w:val="en-GB"/>
              </w:rPr>
            </w:pPr>
          </w:p>
        </w:tc>
        <w:tc>
          <w:tcPr>
            <w:tcW w:w="2029" w:type="dxa"/>
          </w:tcPr>
          <w:p w14:paraId="0431A8BB" w14:textId="77777777" w:rsidR="005761EE" w:rsidRPr="00FF7F12" w:rsidRDefault="005761EE" w:rsidP="00AD5970">
            <w:pPr>
              <w:rPr>
                <w:sz w:val="20"/>
                <w:szCs w:val="20"/>
                <w:lang w:val="en-GB"/>
              </w:rPr>
            </w:pPr>
            <w:r w:rsidRPr="00FF7F12">
              <w:rPr>
                <w:sz w:val="20"/>
                <w:szCs w:val="20"/>
                <w:lang w:val="en-GB"/>
              </w:rPr>
              <w:t>Sees teaching in a teacher-focused way</w:t>
            </w:r>
          </w:p>
          <w:p w14:paraId="0022BCC5" w14:textId="77777777" w:rsidR="005761EE" w:rsidRPr="00FF7F12" w:rsidRDefault="005761EE" w:rsidP="00AD5970">
            <w:pPr>
              <w:pStyle w:val="Heading2"/>
              <w:spacing w:before="2" w:after="2"/>
              <w:outlineLvl w:val="1"/>
              <w:rPr>
                <w:rFonts w:asciiTheme="minorHAnsi" w:hAnsiTheme="minorHAnsi"/>
                <w:b w:val="0"/>
                <w:sz w:val="20"/>
                <w:lang w:val="en-GB"/>
              </w:rPr>
            </w:pPr>
          </w:p>
        </w:tc>
      </w:tr>
      <w:tr w:rsidR="005761EE" w14:paraId="66CF17A2" w14:textId="77777777" w:rsidTr="00AD5970">
        <w:tc>
          <w:tcPr>
            <w:tcW w:w="689" w:type="dxa"/>
          </w:tcPr>
          <w:p w14:paraId="3F324819" w14:textId="77777777" w:rsidR="005761EE" w:rsidRPr="00FF7F12" w:rsidRDefault="005761EE" w:rsidP="00AD5970">
            <w:pPr>
              <w:pStyle w:val="Heading2"/>
              <w:spacing w:before="2" w:after="2"/>
              <w:outlineLvl w:val="1"/>
              <w:rPr>
                <w:rFonts w:asciiTheme="minorHAnsi" w:hAnsiTheme="minorHAnsi"/>
                <w:sz w:val="20"/>
                <w:lang w:val="en-GB"/>
              </w:rPr>
            </w:pPr>
            <w:r w:rsidRPr="00FF7F12">
              <w:rPr>
                <w:rFonts w:asciiTheme="minorHAnsi" w:hAnsiTheme="minorHAnsi"/>
                <w:sz w:val="20"/>
                <w:lang w:val="en-GB"/>
              </w:rPr>
              <w:t>2</w:t>
            </w:r>
          </w:p>
        </w:tc>
        <w:tc>
          <w:tcPr>
            <w:tcW w:w="1687" w:type="dxa"/>
          </w:tcPr>
          <w:p w14:paraId="0704AC78" w14:textId="77777777" w:rsidR="005761EE" w:rsidRPr="00FF7F12" w:rsidRDefault="005761EE" w:rsidP="00AD5970">
            <w:pPr>
              <w:pStyle w:val="Heading2"/>
              <w:spacing w:before="2" w:after="2"/>
              <w:outlineLvl w:val="1"/>
              <w:rPr>
                <w:rFonts w:asciiTheme="minorHAnsi" w:hAnsiTheme="minorHAnsi"/>
                <w:b w:val="0"/>
                <w:sz w:val="20"/>
                <w:lang w:val="en-GB"/>
              </w:rPr>
            </w:pPr>
            <w:r w:rsidRPr="00FF7F12">
              <w:rPr>
                <w:rFonts w:asciiTheme="minorHAnsi" w:hAnsiTheme="minorHAnsi"/>
                <w:b w:val="0"/>
                <w:sz w:val="20"/>
                <w:lang w:val="en-GB"/>
              </w:rPr>
              <w:t>Engages with the literature of teaching and learning generally</w:t>
            </w:r>
          </w:p>
        </w:tc>
        <w:tc>
          <w:tcPr>
            <w:tcW w:w="1701" w:type="dxa"/>
          </w:tcPr>
          <w:p w14:paraId="595932B6" w14:textId="77777777" w:rsidR="005761EE" w:rsidRPr="00FF7F12" w:rsidRDefault="005761EE" w:rsidP="00AD5970">
            <w:pPr>
              <w:pStyle w:val="Heading2"/>
              <w:spacing w:before="2" w:after="2"/>
              <w:outlineLvl w:val="1"/>
              <w:rPr>
                <w:rFonts w:asciiTheme="minorHAnsi" w:hAnsiTheme="minorHAnsi"/>
                <w:b w:val="0"/>
                <w:sz w:val="20"/>
                <w:lang w:val="en-GB"/>
              </w:rPr>
            </w:pPr>
          </w:p>
        </w:tc>
        <w:tc>
          <w:tcPr>
            <w:tcW w:w="2410" w:type="dxa"/>
          </w:tcPr>
          <w:p w14:paraId="4DFB5605" w14:textId="77777777" w:rsidR="005761EE" w:rsidRPr="00FF7F12" w:rsidRDefault="005761EE" w:rsidP="00AD5970">
            <w:pPr>
              <w:rPr>
                <w:sz w:val="20"/>
                <w:szCs w:val="20"/>
                <w:lang w:val="en-GB"/>
              </w:rPr>
            </w:pPr>
            <w:r w:rsidRPr="00FF7F12">
              <w:rPr>
                <w:sz w:val="20"/>
                <w:szCs w:val="20"/>
                <w:lang w:val="en-GB"/>
              </w:rPr>
              <w:t>Communicates with departmental/faculty peers (tearoom conversations; departmental seminars)</w:t>
            </w:r>
          </w:p>
        </w:tc>
        <w:tc>
          <w:tcPr>
            <w:tcW w:w="2029" w:type="dxa"/>
          </w:tcPr>
          <w:p w14:paraId="3E1FD8DB" w14:textId="77777777" w:rsidR="005761EE" w:rsidRPr="00FF7F12" w:rsidRDefault="005761EE" w:rsidP="00AD5970">
            <w:pPr>
              <w:pStyle w:val="Heading2"/>
              <w:spacing w:before="2" w:after="2"/>
              <w:outlineLvl w:val="1"/>
              <w:rPr>
                <w:rFonts w:asciiTheme="minorHAnsi" w:hAnsiTheme="minorHAnsi"/>
                <w:b w:val="0"/>
                <w:sz w:val="20"/>
                <w:lang w:val="en-GB"/>
              </w:rPr>
            </w:pPr>
          </w:p>
        </w:tc>
      </w:tr>
      <w:tr w:rsidR="005761EE" w14:paraId="353D81D9" w14:textId="77777777" w:rsidTr="00AD5970">
        <w:tc>
          <w:tcPr>
            <w:tcW w:w="689" w:type="dxa"/>
          </w:tcPr>
          <w:p w14:paraId="31CA8608" w14:textId="77777777" w:rsidR="005761EE" w:rsidRPr="00FF7F12" w:rsidRDefault="005761EE" w:rsidP="00AD5970">
            <w:pPr>
              <w:pStyle w:val="Heading2"/>
              <w:spacing w:before="2" w:after="2"/>
              <w:outlineLvl w:val="1"/>
              <w:rPr>
                <w:rFonts w:asciiTheme="minorHAnsi" w:hAnsiTheme="minorHAnsi"/>
                <w:sz w:val="20"/>
                <w:lang w:val="en-GB"/>
              </w:rPr>
            </w:pPr>
            <w:r w:rsidRPr="00FF7F12">
              <w:rPr>
                <w:rFonts w:asciiTheme="minorHAnsi" w:hAnsiTheme="minorHAnsi"/>
                <w:sz w:val="20"/>
                <w:lang w:val="en-GB"/>
              </w:rPr>
              <w:t>3</w:t>
            </w:r>
          </w:p>
        </w:tc>
        <w:tc>
          <w:tcPr>
            <w:tcW w:w="1687" w:type="dxa"/>
          </w:tcPr>
          <w:p w14:paraId="4184B520" w14:textId="77777777" w:rsidR="005761EE" w:rsidRPr="00FF7F12" w:rsidRDefault="005761EE" w:rsidP="00AD5970">
            <w:pPr>
              <w:pStyle w:val="Heading2"/>
              <w:spacing w:before="2" w:after="2"/>
              <w:outlineLvl w:val="1"/>
              <w:rPr>
                <w:rFonts w:asciiTheme="minorHAnsi" w:hAnsiTheme="minorHAnsi"/>
                <w:b w:val="0"/>
                <w:sz w:val="20"/>
                <w:lang w:val="en-GB"/>
              </w:rPr>
            </w:pPr>
            <w:r w:rsidRPr="00FF7F12">
              <w:rPr>
                <w:rFonts w:asciiTheme="minorHAnsi" w:hAnsiTheme="minorHAnsi"/>
                <w:b w:val="0"/>
                <w:sz w:val="20"/>
                <w:lang w:val="en-GB"/>
              </w:rPr>
              <w:t>Engages with the literature; particularly the discipline literature</w:t>
            </w:r>
          </w:p>
        </w:tc>
        <w:tc>
          <w:tcPr>
            <w:tcW w:w="1701" w:type="dxa"/>
          </w:tcPr>
          <w:p w14:paraId="1B256CC3" w14:textId="77777777" w:rsidR="005761EE" w:rsidRPr="00FF7F12" w:rsidRDefault="005761EE" w:rsidP="00AD5970">
            <w:pPr>
              <w:pStyle w:val="Heading2"/>
              <w:spacing w:before="2" w:after="2"/>
              <w:outlineLvl w:val="1"/>
              <w:rPr>
                <w:rFonts w:asciiTheme="minorHAnsi" w:hAnsiTheme="minorHAnsi"/>
                <w:b w:val="0"/>
                <w:sz w:val="20"/>
                <w:lang w:val="en-GB"/>
              </w:rPr>
            </w:pPr>
            <w:r w:rsidRPr="00FF7F12">
              <w:rPr>
                <w:rFonts w:asciiTheme="minorHAnsi" w:hAnsiTheme="minorHAnsi"/>
                <w:b w:val="0"/>
                <w:sz w:val="20"/>
                <w:lang w:val="en-GB"/>
              </w:rPr>
              <w:t>Reflection-in-action</w:t>
            </w:r>
          </w:p>
        </w:tc>
        <w:tc>
          <w:tcPr>
            <w:tcW w:w="2410" w:type="dxa"/>
          </w:tcPr>
          <w:p w14:paraId="05CA2A0B" w14:textId="77777777" w:rsidR="005761EE" w:rsidRPr="00FF7F12" w:rsidRDefault="005761EE" w:rsidP="00AD5970">
            <w:pPr>
              <w:rPr>
                <w:sz w:val="20"/>
                <w:szCs w:val="20"/>
                <w:lang w:val="en-GB"/>
              </w:rPr>
            </w:pPr>
            <w:r w:rsidRPr="00FF7F12">
              <w:rPr>
                <w:sz w:val="20"/>
                <w:szCs w:val="20"/>
                <w:lang w:val="en-GB"/>
              </w:rPr>
              <w:t>Reports work at local and national conferences</w:t>
            </w:r>
          </w:p>
          <w:p w14:paraId="37BB9A20" w14:textId="77777777" w:rsidR="005761EE" w:rsidRPr="00FF7F12" w:rsidRDefault="005761EE" w:rsidP="00AD5970">
            <w:pPr>
              <w:pStyle w:val="Heading2"/>
              <w:spacing w:before="2" w:after="2"/>
              <w:outlineLvl w:val="1"/>
              <w:rPr>
                <w:rFonts w:asciiTheme="minorHAnsi" w:hAnsiTheme="minorHAnsi"/>
                <w:b w:val="0"/>
                <w:sz w:val="20"/>
                <w:lang w:val="en-GB"/>
              </w:rPr>
            </w:pPr>
          </w:p>
        </w:tc>
        <w:tc>
          <w:tcPr>
            <w:tcW w:w="2029" w:type="dxa"/>
          </w:tcPr>
          <w:p w14:paraId="331484F5" w14:textId="77777777" w:rsidR="005761EE" w:rsidRPr="00FF7F12" w:rsidRDefault="005761EE" w:rsidP="00AD5970">
            <w:pPr>
              <w:pStyle w:val="Heading2"/>
              <w:spacing w:before="2" w:after="2"/>
              <w:outlineLvl w:val="1"/>
              <w:rPr>
                <w:rFonts w:asciiTheme="minorHAnsi" w:hAnsiTheme="minorHAnsi"/>
                <w:b w:val="0"/>
                <w:sz w:val="20"/>
                <w:lang w:val="en-GB"/>
              </w:rPr>
            </w:pPr>
          </w:p>
        </w:tc>
      </w:tr>
      <w:tr w:rsidR="005761EE" w14:paraId="5A65A85B" w14:textId="77777777" w:rsidTr="00AD5970">
        <w:tc>
          <w:tcPr>
            <w:tcW w:w="689" w:type="dxa"/>
          </w:tcPr>
          <w:p w14:paraId="13AB2951" w14:textId="77777777" w:rsidR="005761EE" w:rsidRPr="00FF7F12" w:rsidRDefault="005761EE" w:rsidP="00AD5970">
            <w:pPr>
              <w:pStyle w:val="Heading2"/>
              <w:spacing w:before="2" w:after="2"/>
              <w:outlineLvl w:val="1"/>
              <w:rPr>
                <w:rFonts w:asciiTheme="minorHAnsi" w:hAnsiTheme="minorHAnsi"/>
                <w:sz w:val="20"/>
                <w:lang w:val="en-GB"/>
              </w:rPr>
            </w:pPr>
            <w:r w:rsidRPr="00FF7F12">
              <w:rPr>
                <w:rFonts w:asciiTheme="minorHAnsi" w:hAnsiTheme="minorHAnsi"/>
                <w:sz w:val="20"/>
                <w:lang w:val="en-GB"/>
              </w:rPr>
              <w:lastRenderedPageBreak/>
              <w:t>4</w:t>
            </w:r>
          </w:p>
        </w:tc>
        <w:tc>
          <w:tcPr>
            <w:tcW w:w="1687" w:type="dxa"/>
          </w:tcPr>
          <w:p w14:paraId="285CC6D8" w14:textId="77777777" w:rsidR="005761EE" w:rsidRPr="00FF7F12" w:rsidRDefault="005761EE" w:rsidP="00AD5970">
            <w:pPr>
              <w:pStyle w:val="Heading2"/>
              <w:spacing w:before="2" w:after="2"/>
              <w:outlineLvl w:val="1"/>
              <w:rPr>
                <w:rFonts w:asciiTheme="minorHAnsi" w:hAnsiTheme="minorHAnsi"/>
                <w:b w:val="0"/>
                <w:sz w:val="20"/>
                <w:lang w:val="en-GB"/>
              </w:rPr>
            </w:pPr>
            <w:r w:rsidRPr="00FF7F12">
              <w:rPr>
                <w:rFonts w:asciiTheme="minorHAnsi" w:hAnsiTheme="minorHAnsi"/>
                <w:b w:val="0"/>
                <w:sz w:val="20"/>
                <w:lang w:val="en-GB"/>
              </w:rPr>
              <w:t>Conducts action research, has synoptic capacity and pedagogic content knowledge</w:t>
            </w:r>
          </w:p>
        </w:tc>
        <w:tc>
          <w:tcPr>
            <w:tcW w:w="1701" w:type="dxa"/>
          </w:tcPr>
          <w:p w14:paraId="0A450BB6" w14:textId="77777777" w:rsidR="005761EE" w:rsidRPr="00FF7F12" w:rsidRDefault="005761EE" w:rsidP="00AD5970">
            <w:pPr>
              <w:rPr>
                <w:sz w:val="20"/>
                <w:szCs w:val="20"/>
                <w:lang w:val="en-GB"/>
              </w:rPr>
            </w:pPr>
            <w:r w:rsidRPr="00FF7F12">
              <w:rPr>
                <w:sz w:val="20"/>
                <w:szCs w:val="20"/>
                <w:lang w:val="en-GB"/>
              </w:rPr>
              <w:t>Reflection focused on asking what do I need to know about x here, and how will I find out about it?</w:t>
            </w:r>
          </w:p>
        </w:tc>
        <w:tc>
          <w:tcPr>
            <w:tcW w:w="2410" w:type="dxa"/>
          </w:tcPr>
          <w:p w14:paraId="15DF0449" w14:textId="77777777" w:rsidR="005761EE" w:rsidRPr="00FF7F12" w:rsidRDefault="005761EE" w:rsidP="00AD5970">
            <w:pPr>
              <w:rPr>
                <w:sz w:val="20"/>
                <w:szCs w:val="20"/>
                <w:lang w:val="en-GB"/>
              </w:rPr>
            </w:pPr>
            <w:r w:rsidRPr="00FF7F12">
              <w:rPr>
                <w:sz w:val="20"/>
                <w:szCs w:val="20"/>
                <w:lang w:val="en-GB"/>
              </w:rPr>
              <w:t>Publishes in international scholarly journals</w:t>
            </w:r>
          </w:p>
          <w:p w14:paraId="27B41CB8" w14:textId="77777777" w:rsidR="005761EE" w:rsidRPr="00FF7F12" w:rsidRDefault="005761EE" w:rsidP="00AD5970">
            <w:pPr>
              <w:pStyle w:val="Heading2"/>
              <w:spacing w:before="2" w:after="2"/>
              <w:outlineLvl w:val="1"/>
              <w:rPr>
                <w:rFonts w:asciiTheme="minorHAnsi" w:hAnsiTheme="minorHAnsi"/>
                <w:b w:val="0"/>
                <w:sz w:val="20"/>
                <w:lang w:val="en-GB"/>
              </w:rPr>
            </w:pPr>
          </w:p>
        </w:tc>
        <w:tc>
          <w:tcPr>
            <w:tcW w:w="2029" w:type="dxa"/>
          </w:tcPr>
          <w:p w14:paraId="43BE7B29" w14:textId="77777777" w:rsidR="005761EE" w:rsidRPr="00FF7F12" w:rsidRDefault="005761EE" w:rsidP="00AD5970">
            <w:pPr>
              <w:rPr>
                <w:sz w:val="20"/>
                <w:szCs w:val="20"/>
                <w:lang w:val="en-GB"/>
              </w:rPr>
            </w:pPr>
            <w:r w:rsidRPr="00FF7F12">
              <w:rPr>
                <w:sz w:val="20"/>
                <w:szCs w:val="20"/>
                <w:lang w:val="en-GB"/>
              </w:rPr>
              <w:t>sees teaching in a student-focused way</w:t>
            </w:r>
          </w:p>
          <w:p w14:paraId="7D87B632" w14:textId="77777777" w:rsidR="005761EE" w:rsidRPr="00FF7F12" w:rsidRDefault="005761EE" w:rsidP="00AD5970">
            <w:pPr>
              <w:pStyle w:val="Heading2"/>
              <w:spacing w:before="2" w:after="2"/>
              <w:outlineLvl w:val="1"/>
              <w:rPr>
                <w:rFonts w:asciiTheme="minorHAnsi" w:hAnsiTheme="minorHAnsi"/>
                <w:b w:val="0"/>
                <w:sz w:val="20"/>
                <w:lang w:val="en-GB"/>
              </w:rPr>
            </w:pPr>
          </w:p>
        </w:tc>
      </w:tr>
    </w:tbl>
    <w:p w14:paraId="08F87F35" w14:textId="77777777" w:rsidR="00404C32" w:rsidRDefault="00404C32" w:rsidP="00BE3768">
      <w:pPr>
        <w:spacing w:before="240" w:line="480" w:lineRule="auto"/>
      </w:pPr>
    </w:p>
    <w:p w14:paraId="4034C70E" w14:textId="77777777" w:rsidR="00E15F1A" w:rsidRPr="00AD6286" w:rsidRDefault="004B5292" w:rsidP="00BE3768">
      <w:pPr>
        <w:spacing w:before="240" w:line="480" w:lineRule="auto"/>
      </w:pPr>
      <w:r>
        <w:t>Each transcript was analysed against the levels of engagement for eac</w:t>
      </w:r>
      <w:r w:rsidR="009B054C">
        <w:t>h dimension described in Table 2</w:t>
      </w:r>
      <w:r>
        <w:t>, building up a picture of engagement with SoTL, and identifying areas where there</w:t>
      </w:r>
      <w:r w:rsidR="008E42A7">
        <w:t xml:space="preserve"> was a</w:t>
      </w:r>
      <w:r w:rsidR="002E2ACE">
        <w:t>n impediment</w:t>
      </w:r>
      <w:r w:rsidR="008E42A7">
        <w:t xml:space="preserve"> to progress</w:t>
      </w:r>
      <w:r w:rsidR="002E2ACE">
        <w:t>ion</w:t>
      </w:r>
      <w:r w:rsidR="008E42A7">
        <w:t xml:space="preserve"> through the stages. Each of the four dimensions was investigated, both in terms of individuals’ development within the dimension, and also for influence between the dimensions.</w:t>
      </w:r>
      <w:r w:rsidR="004E34A6">
        <w:t xml:space="preserve"> The limitations of this study should be acknowledged, in that although the study covers a variety of UK institutions, there are only twenty-one participants, therefore any conclusions drawn from the findings should be treated with an appropriate measure of caution.</w:t>
      </w:r>
    </w:p>
    <w:p w14:paraId="43C543C5" w14:textId="77777777" w:rsidR="00B168F0" w:rsidRPr="007020AA" w:rsidRDefault="00B168F0" w:rsidP="002E2ACE">
      <w:pPr>
        <w:spacing w:line="480" w:lineRule="auto"/>
        <w:rPr>
          <w:b/>
          <w:sz w:val="24"/>
          <w:szCs w:val="24"/>
        </w:rPr>
      </w:pPr>
    </w:p>
    <w:p w14:paraId="01C5B4B0" w14:textId="77777777" w:rsidR="005761EE" w:rsidRPr="007020AA" w:rsidRDefault="005761EE" w:rsidP="002E2ACE">
      <w:pPr>
        <w:spacing w:line="480" w:lineRule="auto"/>
        <w:rPr>
          <w:b/>
        </w:rPr>
      </w:pPr>
      <w:r w:rsidRPr="007020AA">
        <w:rPr>
          <w:b/>
        </w:rPr>
        <w:t>Identification of Threshold Concepts</w:t>
      </w:r>
    </w:p>
    <w:p w14:paraId="18B1686E" w14:textId="77777777" w:rsidR="009B054C" w:rsidRPr="00CF5079" w:rsidRDefault="00CF5079" w:rsidP="002E2ACE">
      <w:pPr>
        <w:spacing w:line="480" w:lineRule="auto"/>
      </w:pPr>
      <w:r>
        <w:t>T</w:t>
      </w:r>
      <w:r w:rsidR="009B054C">
        <w:t>he dimensions</w:t>
      </w:r>
      <w:r>
        <w:t xml:space="preserve"> </w:t>
      </w:r>
      <w:r>
        <w:rPr>
          <w:i/>
        </w:rPr>
        <w:t>Informed</w:t>
      </w:r>
      <w:r>
        <w:t xml:space="preserve">, </w:t>
      </w:r>
      <w:r w:rsidRPr="00CF5079">
        <w:rPr>
          <w:i/>
        </w:rPr>
        <w:t>Communication</w:t>
      </w:r>
      <w:r>
        <w:t xml:space="preserve">, and </w:t>
      </w:r>
      <w:r w:rsidRPr="00CF5079">
        <w:rPr>
          <w:i/>
        </w:rPr>
        <w:t>Conception</w:t>
      </w:r>
      <w:r w:rsidR="009B054C">
        <w:t xml:space="preserve"> in Trigwell et al’s (2000) Model of Scholarship</w:t>
      </w:r>
      <w:r>
        <w:t xml:space="preserve"> yielded potential Threshold Concepts, which will be discussed below. The </w:t>
      </w:r>
      <w:r>
        <w:rPr>
          <w:i/>
        </w:rPr>
        <w:t>Reflection</w:t>
      </w:r>
      <w:r>
        <w:t xml:space="preserve"> dimension was apparent in all interviews, with individual academics able to articulate their thoughts regarding a variety of pertinent issues</w:t>
      </w:r>
      <w:r w:rsidR="00DC7A2E">
        <w:t>, and make suggestions for solutions</w:t>
      </w:r>
      <w:r>
        <w:t>. However, there were observable differences in how academics were able to articulate their reflections through the levels of the other three dimensions.</w:t>
      </w:r>
    </w:p>
    <w:p w14:paraId="6900090C" w14:textId="77777777" w:rsidR="00503090" w:rsidRPr="00503090" w:rsidRDefault="00FD0417" w:rsidP="002E2ACE">
      <w:pPr>
        <w:spacing w:line="480" w:lineRule="auto"/>
        <w:rPr>
          <w:b/>
        </w:rPr>
      </w:pPr>
      <w:r>
        <w:rPr>
          <w:b/>
        </w:rPr>
        <w:t>Engagement with Pedagogic</w:t>
      </w:r>
      <w:r w:rsidR="00503090">
        <w:rPr>
          <w:b/>
        </w:rPr>
        <w:t xml:space="preserve"> Literature</w:t>
      </w:r>
    </w:p>
    <w:p w14:paraId="4167EDF9" w14:textId="77777777" w:rsidR="00503090" w:rsidRDefault="007A6D32" w:rsidP="002E2ACE">
      <w:pPr>
        <w:spacing w:line="480" w:lineRule="auto"/>
      </w:pPr>
      <w:r>
        <w:t>There were a number of examples of potential Thresholds within the Informed dimension</w:t>
      </w:r>
      <w:r w:rsidR="00503090">
        <w:t xml:space="preserve"> (ID)</w:t>
      </w:r>
      <w:r>
        <w:t xml:space="preserve">. These occurred </w:t>
      </w:r>
      <w:r w:rsidR="009F6346">
        <w:t>at</w:t>
      </w:r>
      <w:r w:rsidR="00CF5079">
        <w:t xml:space="preserve"> all levels of engagement</w:t>
      </w:r>
      <w:r>
        <w:t xml:space="preserve"> (see Table 1)</w:t>
      </w:r>
      <w:r w:rsidR="0010317C">
        <w:t>. I</w:t>
      </w:r>
      <w:r>
        <w:t>nterviewees</w:t>
      </w:r>
      <w:r w:rsidR="0010317C">
        <w:t xml:space="preserve"> at Level 1</w:t>
      </w:r>
      <w:r w:rsidR="00503090">
        <w:t>(ID)</w:t>
      </w:r>
      <w:r>
        <w:t xml:space="preserve"> articulated informal theories of learning with little or</w:t>
      </w:r>
      <w:r w:rsidR="00B26624">
        <w:t xml:space="preserve"> no understanding of pedagogic</w:t>
      </w:r>
      <w:r>
        <w:t xml:space="preserve"> literature. </w:t>
      </w:r>
      <w:r w:rsidR="00FD0417">
        <w:t xml:space="preserve">Lack of engagement with </w:t>
      </w:r>
      <w:r w:rsidR="00FD0417">
        <w:lastRenderedPageBreak/>
        <w:t>the literature tended to be with late career academics who had not been introduced to SoTL as a concept earlier in their careers.</w:t>
      </w:r>
    </w:p>
    <w:p w14:paraId="4B21306A" w14:textId="77777777" w:rsidR="004F5929" w:rsidRDefault="004F5929" w:rsidP="004F5929">
      <w:pPr>
        <w:pStyle w:val="paragraph"/>
        <w:textAlignment w:val="baseline"/>
        <w:rPr>
          <w:rStyle w:val="normaltextrun"/>
          <w:rFonts w:ascii="Calibri" w:hAnsi="Calibri" w:cs="Segoe UI"/>
          <w:sz w:val="22"/>
          <w:szCs w:val="22"/>
        </w:rPr>
      </w:pPr>
      <w:r w:rsidRPr="004F5929">
        <w:rPr>
          <w:rStyle w:val="normaltextrun"/>
          <w:rFonts w:ascii="Calibri" w:hAnsi="Calibri" w:cs="Segoe UI"/>
          <w:sz w:val="22"/>
          <w:szCs w:val="22"/>
        </w:rPr>
        <w:t>“</w:t>
      </w:r>
      <w:r w:rsidRPr="004F5929">
        <w:rPr>
          <w:rFonts w:asciiTheme="minorHAnsi" w:hAnsiTheme="minorHAnsi"/>
          <w:i/>
          <w:color w:val="000000"/>
          <w:sz w:val="22"/>
          <w:szCs w:val="22"/>
        </w:rPr>
        <w:t>I’m not very methodical, so my lectures tend, I think, not to be very well structured, because I don’t because I don’t necessarily have a narrative, I just gather a collection of facts and put them all together in a lecture, and hope that the students get something out of it, so I would like to improve on that a bit.</w:t>
      </w:r>
      <w:r w:rsidRPr="004F5929">
        <w:rPr>
          <w:rStyle w:val="normaltextrun"/>
          <w:rFonts w:ascii="Calibri" w:hAnsi="Calibri" w:cs="Segoe UI"/>
          <w:sz w:val="22"/>
          <w:szCs w:val="22"/>
        </w:rPr>
        <w:t>”</w:t>
      </w:r>
      <w:r w:rsidR="00FD0417">
        <w:rPr>
          <w:rStyle w:val="normaltextrun"/>
          <w:rFonts w:ascii="Calibri" w:hAnsi="Calibri" w:cs="Segoe UI"/>
          <w:sz w:val="22"/>
          <w:szCs w:val="22"/>
        </w:rPr>
        <w:t xml:space="preserve"> </w:t>
      </w:r>
      <w:r w:rsidR="00606982">
        <w:rPr>
          <w:rStyle w:val="normaltextrun"/>
          <w:rFonts w:ascii="Calibri" w:hAnsi="Calibri" w:cs="Segoe UI"/>
          <w:sz w:val="22"/>
          <w:szCs w:val="22"/>
        </w:rPr>
        <w:t xml:space="preserve">(late </w:t>
      </w:r>
      <w:r w:rsidR="00CF5079">
        <w:rPr>
          <w:rStyle w:val="normaltextrun"/>
          <w:rFonts w:ascii="Calibri" w:hAnsi="Calibri" w:cs="Segoe UI"/>
          <w:sz w:val="22"/>
          <w:szCs w:val="22"/>
        </w:rPr>
        <w:t>career academic)</w:t>
      </w:r>
    </w:p>
    <w:p w14:paraId="534B2CDF" w14:textId="77777777" w:rsidR="00FD0417" w:rsidRDefault="00FD0417" w:rsidP="00FD0417">
      <w:r>
        <w:t>“</w:t>
      </w:r>
      <w:r>
        <w:rPr>
          <w:i/>
        </w:rPr>
        <w:t>Very pragmatic.</w:t>
      </w:r>
      <w:r w:rsidRPr="00FD0417">
        <w:rPr>
          <w:i/>
        </w:rPr>
        <w:t xml:space="preserve"> I take notice of feedback from students, and I’m always willing to change things and occasionally I will try something new, but it’s not underpinned by any theory, it’s just try it and see how it works.</w:t>
      </w:r>
      <w:r w:rsidRPr="00FD0417">
        <w:t>”</w:t>
      </w:r>
      <w:r>
        <w:t xml:space="preserve"> </w:t>
      </w:r>
      <w:r w:rsidR="00606982">
        <w:t xml:space="preserve">(late </w:t>
      </w:r>
      <w:r w:rsidR="00CF5079">
        <w:t>career academic)</w:t>
      </w:r>
    </w:p>
    <w:p w14:paraId="0605431A" w14:textId="77777777" w:rsidR="00213372" w:rsidRDefault="00213372" w:rsidP="002E2ACE">
      <w:pPr>
        <w:spacing w:line="480" w:lineRule="auto"/>
        <w:rPr>
          <w:rFonts w:eastAsia="Times New Roman" w:cs="Times New Roman"/>
          <w:color w:val="000000"/>
          <w:lang w:eastAsia="en-GB"/>
        </w:rPr>
      </w:pPr>
      <w:r>
        <w:rPr>
          <w:rFonts w:eastAsia="Times New Roman" w:cs="Times New Roman"/>
          <w:color w:val="000000"/>
          <w:lang w:eastAsia="en-GB"/>
        </w:rPr>
        <w:t xml:space="preserve">These comments by late career academics show an awareness of </w:t>
      </w:r>
      <w:r w:rsidR="00B26624">
        <w:rPr>
          <w:rFonts w:eastAsia="Times New Roman" w:cs="Times New Roman"/>
          <w:color w:val="000000"/>
          <w:lang w:eastAsia="en-GB"/>
        </w:rPr>
        <w:t>pedagogic</w:t>
      </w:r>
      <w:r>
        <w:rPr>
          <w:rFonts w:eastAsia="Times New Roman" w:cs="Times New Roman"/>
          <w:color w:val="000000"/>
          <w:lang w:eastAsia="en-GB"/>
        </w:rPr>
        <w:t xml:space="preserve"> literature, but a lack of engagement with it. They are in a pre-liminal state, and remain outside the threshold delineated by SoTL.</w:t>
      </w:r>
    </w:p>
    <w:p w14:paraId="12EBF8FE" w14:textId="77777777" w:rsidR="00503090" w:rsidRPr="00213372" w:rsidRDefault="00CF5079" w:rsidP="002E2ACE">
      <w:pPr>
        <w:spacing w:line="480" w:lineRule="auto"/>
        <w:rPr>
          <w:rFonts w:eastAsia="Times New Roman" w:cs="Times New Roman"/>
          <w:color w:val="000000"/>
          <w:lang w:eastAsia="en-GB"/>
        </w:rPr>
      </w:pPr>
      <w:r w:rsidRPr="00CF5079">
        <w:rPr>
          <w:rFonts w:eastAsia="Times New Roman" w:cs="Times New Roman"/>
          <w:color w:val="000000"/>
          <w:lang w:eastAsia="en-GB"/>
        </w:rPr>
        <w:t>In contrast</w:t>
      </w:r>
      <w:r>
        <w:rPr>
          <w:rFonts w:eastAsia="Times New Roman" w:cs="Times New Roman"/>
          <w:color w:val="000000"/>
          <w:lang w:eastAsia="en-GB"/>
        </w:rPr>
        <w:t xml:space="preserve"> to late career academics, early career academics, through the influence of their </w:t>
      </w:r>
      <w:r>
        <w:t>Postgraduate Certificate in Higher Education (</w:t>
      </w:r>
      <w:r>
        <w:rPr>
          <w:rFonts w:eastAsia="Times New Roman" w:cs="Times New Roman"/>
          <w:color w:val="000000"/>
          <w:lang w:eastAsia="en-GB"/>
        </w:rPr>
        <w:t xml:space="preserve">PGC) were able to articulate some knowledge and understanding of </w:t>
      </w:r>
      <w:r w:rsidR="00B26624">
        <w:rPr>
          <w:rFonts w:eastAsia="Times New Roman" w:cs="Times New Roman"/>
          <w:color w:val="000000"/>
          <w:lang w:eastAsia="en-GB"/>
        </w:rPr>
        <w:t>pedagogic</w:t>
      </w:r>
      <w:r>
        <w:rPr>
          <w:rFonts w:eastAsia="Times New Roman" w:cs="Times New Roman"/>
          <w:color w:val="000000"/>
          <w:lang w:eastAsia="en-GB"/>
        </w:rPr>
        <w:t xml:space="preserve"> literature.</w:t>
      </w:r>
      <w:r w:rsidR="00213372">
        <w:rPr>
          <w:rFonts w:eastAsia="Times New Roman" w:cs="Times New Roman"/>
          <w:color w:val="000000"/>
          <w:lang w:eastAsia="en-GB"/>
        </w:rPr>
        <w:t xml:space="preserve"> </w:t>
      </w:r>
      <w:r w:rsidR="00213372">
        <w:t>They discussed</w:t>
      </w:r>
      <w:r w:rsidR="0010317C">
        <w:t xml:space="preserve"> </w:t>
      </w:r>
      <w:r w:rsidR="00B26624">
        <w:t>pedagogic</w:t>
      </w:r>
      <w:r w:rsidR="0010317C">
        <w:t xml:space="preserve"> literature in general terms, and had insight into their limitations compared to colleagues, indicating a movement towards the space between Levels 2 and 3</w:t>
      </w:r>
      <w:r w:rsidR="00503090">
        <w:t>(ID)</w:t>
      </w:r>
      <w:r w:rsidR="0010317C">
        <w:t>.</w:t>
      </w:r>
    </w:p>
    <w:p w14:paraId="01BBD2C3" w14:textId="77777777" w:rsidR="00963FA9" w:rsidRPr="00963FA9" w:rsidRDefault="00963FA9" w:rsidP="00963FA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963FA9">
        <w:rPr>
          <w:rFonts w:ascii="Calibri" w:eastAsia="Times New Roman" w:hAnsi="Calibri" w:cs="Times New Roman"/>
          <w:i/>
          <w:color w:val="000000"/>
          <w:lang w:eastAsia="en-GB"/>
        </w:rPr>
        <w:t>So I thought, I will go and I will read some papers, so I did and it changed my focus of what I was going to do for my PGCAP, so I would say, yeah, amazingly enough, never thought I’d say it about my PGCAP but literature informs what I do (laughs) in terms of teaching! I mean, it’s not, it’s definitely not t</w:t>
      </w:r>
      <w:r w:rsidR="009005F8">
        <w:rPr>
          <w:rFonts w:ascii="Calibri" w:eastAsia="Times New Roman" w:hAnsi="Calibri" w:cs="Times New Roman"/>
          <w:i/>
          <w:color w:val="000000"/>
          <w:lang w:eastAsia="en-GB"/>
        </w:rPr>
        <w:t xml:space="preserve">he highbrow level, no, it’s at </w:t>
      </w:r>
      <w:r w:rsidRPr="00963FA9">
        <w:rPr>
          <w:rFonts w:ascii="Calibri" w:eastAsia="Times New Roman" w:hAnsi="Calibri" w:cs="Times New Roman"/>
          <w:i/>
          <w:color w:val="000000"/>
          <w:lang w:eastAsia="en-GB"/>
        </w:rPr>
        <w:t>a level that is, you</w:t>
      </w:r>
      <w:r w:rsidR="009D627C">
        <w:rPr>
          <w:rFonts w:ascii="Calibri" w:eastAsia="Times New Roman" w:hAnsi="Calibri" w:cs="Times New Roman"/>
          <w:i/>
          <w:color w:val="000000"/>
          <w:lang w:eastAsia="en-GB"/>
        </w:rPr>
        <w:t xml:space="preserve"> know, fairly basic, but</w:t>
      </w:r>
      <w:r w:rsidRPr="00963FA9">
        <w:rPr>
          <w:rFonts w:ascii="Calibri" w:eastAsia="Times New Roman" w:hAnsi="Calibri" w:cs="Times New Roman"/>
          <w:i/>
          <w:color w:val="000000"/>
          <w:lang w:eastAsia="en-GB"/>
        </w:rPr>
        <w:t xml:space="preserve"> it’s at a level!</w:t>
      </w:r>
      <w:r>
        <w:rPr>
          <w:rFonts w:ascii="Calibri" w:eastAsia="Times New Roman" w:hAnsi="Calibri" w:cs="Times New Roman"/>
          <w:color w:val="000000"/>
          <w:lang w:eastAsia="en-GB"/>
        </w:rPr>
        <w:t>”</w:t>
      </w:r>
      <w:r w:rsidR="00CF5079">
        <w:rPr>
          <w:rFonts w:ascii="Calibri" w:eastAsia="Times New Roman" w:hAnsi="Calibri" w:cs="Times New Roman"/>
          <w:color w:val="000000"/>
          <w:lang w:eastAsia="en-GB"/>
        </w:rPr>
        <w:t xml:space="preserve"> (early career academic)</w:t>
      </w:r>
    </w:p>
    <w:p w14:paraId="1D9135F2" w14:textId="77777777" w:rsidR="00213372" w:rsidRDefault="00213372" w:rsidP="00BA24B5">
      <w:pPr>
        <w:spacing w:line="360" w:lineRule="auto"/>
      </w:pPr>
    </w:p>
    <w:p w14:paraId="66CF33BF" w14:textId="77777777" w:rsidR="00213372" w:rsidRDefault="00213372" w:rsidP="002E2ACE">
      <w:pPr>
        <w:spacing w:line="480" w:lineRule="auto"/>
      </w:pPr>
      <w:r>
        <w:t xml:space="preserve">There is a demonstration of an engagement with </w:t>
      </w:r>
      <w:r w:rsidR="00B26624">
        <w:t>pedagogic</w:t>
      </w:r>
      <w:r>
        <w:t xml:space="preserve"> literature, and some evidence of general integration of knowledge. There is also some transformation of understanding, whilst at the same time acknowledging that they are only glimpsing the potential strengths of engagement with </w:t>
      </w:r>
      <w:r w:rsidR="00B26624">
        <w:t>pedagogic</w:t>
      </w:r>
      <w:r>
        <w:t xml:space="preserve"> literature.</w:t>
      </w:r>
    </w:p>
    <w:p w14:paraId="36010506" w14:textId="77777777" w:rsidR="008E42A7" w:rsidRDefault="0010317C" w:rsidP="002E2ACE">
      <w:pPr>
        <w:spacing w:line="480" w:lineRule="auto"/>
      </w:pPr>
      <w:r>
        <w:t xml:space="preserve"> </w:t>
      </w:r>
      <w:r w:rsidR="00213372">
        <w:t xml:space="preserve">In general, </w:t>
      </w:r>
      <w:r w:rsidR="00BB379E">
        <w:t>mid-career</w:t>
      </w:r>
      <w:r w:rsidR="00213372">
        <w:t xml:space="preserve"> academics </w:t>
      </w:r>
      <w:r>
        <w:t xml:space="preserve">demonstrated engagement with discipline </w:t>
      </w:r>
      <w:r w:rsidR="00B26624">
        <w:t>pedagogic</w:t>
      </w:r>
      <w:r>
        <w:t xml:space="preserve"> literature</w:t>
      </w:r>
      <w:r w:rsidR="00503090">
        <w:t xml:space="preserve"> (Level 3(ID))</w:t>
      </w:r>
      <w:r w:rsidR="00213372">
        <w:t>. They</w:t>
      </w:r>
      <w:r>
        <w:t xml:space="preserve"> expressed an ease and familiarity with that literature, whilst simultaneously </w:t>
      </w:r>
      <w:r>
        <w:lastRenderedPageBreak/>
        <w:t xml:space="preserve">expressing </w:t>
      </w:r>
      <w:r w:rsidR="00503090">
        <w:t xml:space="preserve">a fear of general </w:t>
      </w:r>
      <w:r w:rsidR="00B26624">
        <w:t>pedagogic</w:t>
      </w:r>
      <w:r w:rsidR="00503090">
        <w:t xml:space="preserve"> literature.</w:t>
      </w:r>
      <w:r>
        <w:t xml:space="preserve"> </w:t>
      </w:r>
      <w:r w:rsidR="00503090">
        <w:t xml:space="preserve">The rejection of general </w:t>
      </w:r>
      <w:r w:rsidR="00B26624">
        <w:t>pedagogic</w:t>
      </w:r>
      <w:r w:rsidR="00503090">
        <w:t xml:space="preserve"> literature contributed to the “bounded” nature of this Threshold Concept, holding back these interviewees from further development.</w:t>
      </w:r>
    </w:p>
    <w:p w14:paraId="602A7A77" w14:textId="77777777" w:rsidR="007020AA" w:rsidRDefault="00503090" w:rsidP="00503090">
      <w:pPr>
        <w:spacing w:line="240" w:lineRule="auto"/>
      </w:pPr>
      <w:r>
        <w:t xml:space="preserve"> </w:t>
      </w:r>
      <w:r w:rsidR="007020AA">
        <w:t>“</w:t>
      </w:r>
      <w:r w:rsidR="007020AA" w:rsidRPr="005B4350">
        <w:rPr>
          <w:rFonts w:ascii="Calibri" w:eastAsia="Times New Roman" w:hAnsi="Calibri" w:cs="Times New Roman"/>
          <w:i/>
          <w:color w:val="000000"/>
          <w:lang w:eastAsia="en-GB"/>
        </w:rPr>
        <w:t>things like Bioscience Education, fantastic, and I will sort of drop into that occasionally and have a look and pick up some good ideas. The more sort of heavy duty pedagogic literature, I find pretty heavy going myself</w:t>
      </w:r>
      <w:r w:rsidR="00DC7A2E">
        <w:rPr>
          <w:rFonts w:ascii="Calibri" w:eastAsia="Times New Roman" w:hAnsi="Calibri" w:cs="Times New Roman"/>
          <w:i/>
          <w:color w:val="000000"/>
          <w:lang w:eastAsia="en-GB"/>
        </w:rPr>
        <w:t>.</w:t>
      </w:r>
      <w:r w:rsidR="007020AA">
        <w:t>”</w:t>
      </w:r>
    </w:p>
    <w:p w14:paraId="58A9056A" w14:textId="77777777" w:rsidR="00963FA9" w:rsidRPr="00963FA9" w:rsidRDefault="00963FA9" w:rsidP="00963FA9">
      <w:pPr>
        <w:rPr>
          <w:rFonts w:ascii="Calibri" w:eastAsia="Times New Roman" w:hAnsi="Calibri" w:cs="Times New Roman"/>
          <w:color w:val="000000"/>
          <w:lang w:eastAsia="en-GB"/>
        </w:rPr>
      </w:pPr>
      <w:r>
        <w:t>“</w:t>
      </w:r>
      <w:r w:rsidRPr="00963FA9">
        <w:rPr>
          <w:rFonts w:ascii="Calibri" w:eastAsia="Times New Roman" w:hAnsi="Calibri" w:cs="Times New Roman"/>
          <w:i/>
          <w:color w:val="000000"/>
          <w:lang w:eastAsia="en-GB"/>
        </w:rPr>
        <w:t>probably only very recently that I’ve started to understand a little bit more of the different approaches but I still have a general horror of a lot of the literature and I’ve noticed it’s not just in learning and teaching but in other fields as well</w:t>
      </w:r>
      <w:r w:rsidR="00DC7A2E">
        <w:rPr>
          <w:rFonts w:ascii="Calibri" w:eastAsia="Times New Roman" w:hAnsi="Calibri" w:cs="Times New Roman"/>
          <w:color w:val="000000"/>
          <w:lang w:eastAsia="en-GB"/>
        </w:rPr>
        <w:t>.</w:t>
      </w:r>
      <w:r>
        <w:t>”</w:t>
      </w:r>
    </w:p>
    <w:p w14:paraId="674199B5" w14:textId="77777777" w:rsidR="00213372" w:rsidRDefault="00213372" w:rsidP="002E2ACE">
      <w:pPr>
        <w:spacing w:line="480" w:lineRule="auto"/>
      </w:pPr>
      <w:r>
        <w:t>At this level in part</w:t>
      </w:r>
      <w:r w:rsidR="00DC7A2E">
        <w:t xml:space="preserve">icular, there is a clear sense </w:t>
      </w:r>
      <w:r>
        <w:t>of liminality, and the troublesome nature of engaging with literature and theory which is outside the disciplinary domain. Academics at this level expressed fear of mainstream pedagogic literature, preferring to remain within their comfort zone. This, in turn, is an obstacle to their further development as practitioners.</w:t>
      </w:r>
    </w:p>
    <w:p w14:paraId="5AB2ABAA" w14:textId="77777777" w:rsidR="00503090" w:rsidRDefault="00E47106" w:rsidP="002E2ACE">
      <w:pPr>
        <w:spacing w:line="480" w:lineRule="auto"/>
      </w:pPr>
      <w:r>
        <w:t>M</w:t>
      </w:r>
      <w:r w:rsidR="00213372">
        <w:t>id and early career academics</w:t>
      </w:r>
      <w:r>
        <w:t xml:space="preserve"> engaged with</w:t>
      </w:r>
      <w:r w:rsidR="009F6346">
        <w:t xml:space="preserve"> pedagogic research</w:t>
      </w:r>
      <w:r w:rsidR="00B67EA6">
        <w:t xml:space="preserve"> (Level 4(ID))</w:t>
      </w:r>
      <w:r w:rsidR="009F6346">
        <w:t>. This activity</w:t>
      </w:r>
      <w:r>
        <w:t>, especially for early career academics,</w:t>
      </w:r>
      <w:r w:rsidR="009F6346">
        <w:t xml:space="preserve"> was often facilitated as a capstone to the</w:t>
      </w:r>
      <w:r>
        <w:t>ir</w:t>
      </w:r>
      <w:r w:rsidR="009F6346">
        <w:t xml:space="preserve"> </w:t>
      </w:r>
      <w:r w:rsidR="00CF5079">
        <w:t>PGC</w:t>
      </w:r>
      <w:r w:rsidR="009F6346">
        <w:t>, which most new academics are now required to com</w:t>
      </w:r>
      <w:r>
        <w:t xml:space="preserve">plete as part of their </w:t>
      </w:r>
      <w:r w:rsidR="009F6346">
        <w:t>probation.</w:t>
      </w:r>
      <w:r>
        <w:t xml:space="preserve"> </w:t>
      </w:r>
    </w:p>
    <w:p w14:paraId="13707CB7" w14:textId="77777777" w:rsidR="009F6346" w:rsidRPr="009F6346" w:rsidRDefault="009F6346" w:rsidP="00B67EA6">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9F6346">
        <w:rPr>
          <w:rFonts w:ascii="Calibri" w:eastAsia="Times New Roman" w:hAnsi="Calibri" w:cs="Times New Roman"/>
          <w:i/>
          <w:color w:val="000000"/>
          <w:lang w:eastAsia="en-GB"/>
        </w:rPr>
        <w:t>I think deeply about hypothesis related research around trying to prove the impact of interventions on student engagement and student learning and that’s the kind of area that I think of, and if that’s an area of scholarship then, yeah, that’s what I do.</w:t>
      </w:r>
      <w:r w:rsidR="00E47106">
        <w:rPr>
          <w:rFonts w:ascii="Calibri" w:eastAsia="Times New Roman" w:hAnsi="Calibri" w:cs="Times New Roman"/>
          <w:color w:val="000000"/>
          <w:lang w:eastAsia="en-GB"/>
        </w:rPr>
        <w:t>” (</w:t>
      </w:r>
      <w:r w:rsidR="00BB379E">
        <w:rPr>
          <w:rFonts w:ascii="Calibri" w:eastAsia="Times New Roman" w:hAnsi="Calibri" w:cs="Times New Roman"/>
          <w:color w:val="000000"/>
          <w:lang w:eastAsia="en-GB"/>
        </w:rPr>
        <w:t>mid-career</w:t>
      </w:r>
      <w:r>
        <w:rPr>
          <w:rFonts w:ascii="Calibri" w:eastAsia="Times New Roman" w:hAnsi="Calibri" w:cs="Times New Roman"/>
          <w:color w:val="000000"/>
          <w:lang w:eastAsia="en-GB"/>
        </w:rPr>
        <w:t xml:space="preserve"> academic)</w:t>
      </w:r>
    </w:p>
    <w:p w14:paraId="5D6D37CB" w14:textId="77777777" w:rsidR="009F6346" w:rsidRPr="00B67EA6" w:rsidRDefault="009F6346" w:rsidP="009F6346">
      <w:pPr>
        <w:spacing w:after="0" w:line="240" w:lineRule="auto"/>
      </w:pPr>
      <w:r>
        <w:t>“</w:t>
      </w:r>
      <w:r w:rsidRPr="009F6346">
        <w:rPr>
          <w:i/>
        </w:rPr>
        <w:t>I take the same approach as I would do to any other resea</w:t>
      </w:r>
      <w:r w:rsidR="00E47106">
        <w:rPr>
          <w:i/>
        </w:rPr>
        <w:t>rch that I might be doing</w:t>
      </w:r>
      <w:r w:rsidRPr="009F6346">
        <w:rPr>
          <w:i/>
        </w:rPr>
        <w:t xml:space="preserve"> is looking at what research others have done and finding what’s good practice and what’s bad practice or what might work in particular situations</w:t>
      </w:r>
      <w:r w:rsidR="00DC7A2E">
        <w:rPr>
          <w:i/>
        </w:rPr>
        <w:t>.</w:t>
      </w:r>
      <w:r w:rsidR="00E47106">
        <w:t>” (early career</w:t>
      </w:r>
      <w:r w:rsidR="00B67EA6">
        <w:t xml:space="preserve"> academic)</w:t>
      </w:r>
    </w:p>
    <w:p w14:paraId="4202533E" w14:textId="77777777" w:rsidR="00B67EA6" w:rsidRDefault="00B67EA6" w:rsidP="00BA24B5">
      <w:pPr>
        <w:spacing w:line="360" w:lineRule="auto"/>
        <w:rPr>
          <w:b/>
        </w:rPr>
      </w:pPr>
    </w:p>
    <w:p w14:paraId="6E404BF6" w14:textId="77777777" w:rsidR="00B67EA6" w:rsidRPr="00B67EA6" w:rsidRDefault="00B67EA6" w:rsidP="002E2ACE">
      <w:pPr>
        <w:spacing w:line="480" w:lineRule="auto"/>
      </w:pPr>
      <w:r>
        <w:t>What c</w:t>
      </w:r>
      <w:r w:rsidR="00E47106">
        <w:t>omes across strongly in both early</w:t>
      </w:r>
      <w:r>
        <w:t xml:space="preserve"> and mid-career academics is that their disciplinary background plays a great part in informing how they carry out pedagogic research, and also highlights that academics may carry out action research projects during their PGC </w:t>
      </w:r>
      <w:r w:rsidR="00DC7A2E">
        <w:t>whilst simultaneously engaging with pedagogic literature in no more than general terms.</w:t>
      </w:r>
    </w:p>
    <w:p w14:paraId="33AEFF6C" w14:textId="77777777" w:rsidR="009005F8" w:rsidRDefault="009005F8" w:rsidP="002E2ACE">
      <w:pPr>
        <w:spacing w:line="480" w:lineRule="auto"/>
        <w:rPr>
          <w:b/>
        </w:rPr>
      </w:pPr>
    </w:p>
    <w:p w14:paraId="5B89B12B" w14:textId="77777777" w:rsidR="009005F8" w:rsidRDefault="009005F8" w:rsidP="002E2ACE">
      <w:pPr>
        <w:spacing w:line="480" w:lineRule="auto"/>
        <w:rPr>
          <w:b/>
        </w:rPr>
      </w:pPr>
    </w:p>
    <w:p w14:paraId="4C5E9DC8" w14:textId="77777777" w:rsidR="00503090" w:rsidRPr="00257559" w:rsidRDefault="00257559" w:rsidP="002E2ACE">
      <w:pPr>
        <w:spacing w:line="480" w:lineRule="auto"/>
        <w:rPr>
          <w:b/>
        </w:rPr>
      </w:pPr>
      <w:r w:rsidRPr="00257559">
        <w:rPr>
          <w:b/>
        </w:rPr>
        <w:lastRenderedPageBreak/>
        <w:t>Communication and Publication</w:t>
      </w:r>
      <w:r w:rsidR="00503090" w:rsidRPr="00257559">
        <w:rPr>
          <w:b/>
        </w:rPr>
        <w:t xml:space="preserve"> </w:t>
      </w:r>
    </w:p>
    <w:p w14:paraId="64D7CF5B" w14:textId="77777777" w:rsidR="00F345CA" w:rsidRDefault="00F345CA" w:rsidP="002E2ACE">
      <w:pPr>
        <w:spacing w:line="480" w:lineRule="auto"/>
      </w:pPr>
      <w:r>
        <w:t>Communication is a vital part of the development of engagement with SoTL for the interviewees. A transf</w:t>
      </w:r>
      <w:r w:rsidR="00DC7A2E">
        <w:t>ormational</w:t>
      </w:r>
      <w:r w:rsidR="00B67EA6">
        <w:t xml:space="preserve"> experience for interviewees wa</w:t>
      </w:r>
      <w:r>
        <w:t>s to begin to talk to colleagues about pedagogy, often in the context of the Postgraduate Certificate of Higher Education</w:t>
      </w:r>
      <w:r w:rsidR="00E47106">
        <w:t>, which was seen as one of the primary sources of support for early career academics</w:t>
      </w:r>
      <w:r w:rsidR="00CD7116">
        <w:t xml:space="preserve"> (Level 2(ComD))</w:t>
      </w:r>
      <w:r>
        <w:t>.</w:t>
      </w:r>
    </w:p>
    <w:p w14:paraId="463ABDC2" w14:textId="77777777" w:rsidR="00B67EA6" w:rsidRDefault="00B67EA6" w:rsidP="00B67EA6">
      <w:pPr>
        <w:spacing w:line="240" w:lineRule="auto"/>
      </w:pPr>
      <w:r>
        <w:t>“[PGC</w:t>
      </w:r>
      <w:r w:rsidRPr="00B67EA6">
        <w:t xml:space="preserve"> was] </w:t>
      </w:r>
      <w:r w:rsidRPr="00B67EA6">
        <w:rPr>
          <w:i/>
        </w:rPr>
        <w:t>eye-opening to some extent in that there is a whole field of academic research out there that I wasn’t aware of, and it was inspiring to be able to talk to people about different ways of teaching or different ways of approaching problems in teaching, because when I arrived and starte</w:t>
      </w:r>
      <w:r>
        <w:rPr>
          <w:i/>
        </w:rPr>
        <w:t xml:space="preserve">d my job it was sort of </w:t>
      </w:r>
      <w:r w:rsidRPr="00B67EA6">
        <w:rPr>
          <w:i/>
        </w:rPr>
        <w:t>me in my office by myself going, oh shit, how do I do this job</w:t>
      </w:r>
      <w:r w:rsidRPr="00B67EA6">
        <w:t>?</w:t>
      </w:r>
      <w:r>
        <w:t>”</w:t>
      </w:r>
      <w:r w:rsidR="00E47106">
        <w:t xml:space="preserve"> (early career academic)</w:t>
      </w:r>
    </w:p>
    <w:p w14:paraId="568EA44D" w14:textId="77777777" w:rsidR="00B67EA6" w:rsidRDefault="005D3C65" w:rsidP="002E2ACE">
      <w:pPr>
        <w:spacing w:line="480" w:lineRule="auto"/>
      </w:pPr>
      <w:r>
        <w:t>Being able to discuss teaching and learning was a way for new academics to gain confidence in their roles, which could sometimes be challenging.</w:t>
      </w:r>
      <w:r w:rsidR="00E47106">
        <w:t xml:space="preserve"> There is evidence here for liminality, both in terms of knowledge and identity, and that being able to talk about issues was a way to develop both.</w:t>
      </w:r>
    </w:p>
    <w:p w14:paraId="3941FC3C" w14:textId="77777777" w:rsidR="007020AA" w:rsidRDefault="00257559" w:rsidP="002E2ACE">
      <w:pPr>
        <w:spacing w:line="480" w:lineRule="auto"/>
      </w:pPr>
      <w:r>
        <w:t>Existence of potential Threshold Concepts in the Communication dimension (ComD) are</w:t>
      </w:r>
      <w:r w:rsidR="005D3C65">
        <w:t xml:space="preserve"> also</w:t>
      </w:r>
      <w:r>
        <w:t xml:space="preserve"> associated with the Informed dimension (ID). Interviewees, </w:t>
      </w:r>
      <w:r w:rsidR="00655E1E">
        <w:t xml:space="preserve">who may </w:t>
      </w:r>
      <w:r w:rsidR="00E47106">
        <w:t>confine themselves to engaging with disciplinary pedagogic literature (</w:t>
      </w:r>
      <w:r>
        <w:t>Level 3(ID)</w:t>
      </w:r>
      <w:r w:rsidR="00E47106">
        <w:t>)</w:t>
      </w:r>
      <w:r>
        <w:t xml:space="preserve">, </w:t>
      </w:r>
      <w:r w:rsidR="00655E1E">
        <w:t>complement this with writing for discipline-based</w:t>
      </w:r>
      <w:r w:rsidR="00F246A1">
        <w:t xml:space="preserve"> pedagogic</w:t>
      </w:r>
      <w:r w:rsidR="00655E1E">
        <w:t xml:space="preserve"> journals. This is not strictly accommodated within Trigwell et al’s</w:t>
      </w:r>
      <w:r w:rsidR="0074453C">
        <w:t xml:space="preserve"> (2000)</w:t>
      </w:r>
      <w:r w:rsidR="00655E1E">
        <w:t xml:space="preserve"> </w:t>
      </w:r>
      <w:r w:rsidR="0074453C">
        <w:t>Model of Scholarship (Table 2), but</w:t>
      </w:r>
      <w:r w:rsidR="00655E1E">
        <w:t xml:space="preserve"> is situated at Level 3a(ComD), between “conference presentations” and “international peer reviewed journals”. </w:t>
      </w:r>
    </w:p>
    <w:p w14:paraId="3376509B" w14:textId="77777777" w:rsidR="007020AA" w:rsidRDefault="007020AA" w:rsidP="00655E1E">
      <w:pPr>
        <w:spacing w:line="240" w:lineRule="auto"/>
      </w:pPr>
      <w:r>
        <w:rPr>
          <w:rFonts w:ascii="Calibri" w:eastAsia="Times New Roman" w:hAnsi="Calibri" w:cs="Times New Roman"/>
          <w:color w:val="000000"/>
          <w:lang w:eastAsia="en-GB"/>
        </w:rPr>
        <w:t>“</w:t>
      </w:r>
      <w:r w:rsidRPr="00E021B0">
        <w:rPr>
          <w:rFonts w:ascii="Calibri" w:eastAsia="Times New Roman" w:hAnsi="Calibri" w:cs="Times New Roman"/>
          <w:i/>
          <w:color w:val="000000"/>
          <w:lang w:eastAsia="en-GB"/>
        </w:rPr>
        <w:t>I find the writing of some of these papers quite hard, they don’t come naturally to me, in a different way to how writing a research paper – that didn’t come naturally to me either but I guess I should, I guess I recognise that I need to do more reading around the subject area that I’m actually looking into, and I know that I can be a little bit lax when it comes to actually reading the literature</w:t>
      </w:r>
      <w:r w:rsidRPr="00E021B0">
        <w:rPr>
          <w:rFonts w:ascii="Calibri" w:eastAsia="Times New Roman" w:hAnsi="Calibri" w:cs="Times New Roman"/>
          <w:color w:val="000000"/>
          <w:lang w:eastAsia="en-GB"/>
        </w:rPr>
        <w:t>.</w:t>
      </w:r>
      <w:r>
        <w:rPr>
          <w:rFonts w:ascii="Calibri" w:eastAsia="Times New Roman" w:hAnsi="Calibri" w:cs="Times New Roman"/>
          <w:color w:val="000000"/>
          <w:lang w:eastAsia="en-GB"/>
        </w:rPr>
        <w:t>”</w:t>
      </w:r>
      <w:r w:rsidR="0074453C">
        <w:rPr>
          <w:rFonts w:ascii="Calibri" w:eastAsia="Times New Roman" w:hAnsi="Calibri" w:cs="Times New Roman"/>
          <w:color w:val="000000"/>
          <w:lang w:eastAsia="en-GB"/>
        </w:rPr>
        <w:t xml:space="preserve"> (</w:t>
      </w:r>
      <w:r w:rsidR="00BB379E">
        <w:rPr>
          <w:rFonts w:ascii="Calibri" w:eastAsia="Times New Roman" w:hAnsi="Calibri" w:cs="Times New Roman"/>
          <w:color w:val="000000"/>
          <w:lang w:eastAsia="en-GB"/>
        </w:rPr>
        <w:t>mid-career</w:t>
      </w:r>
      <w:r w:rsidR="0074453C">
        <w:rPr>
          <w:rFonts w:ascii="Calibri" w:eastAsia="Times New Roman" w:hAnsi="Calibri" w:cs="Times New Roman"/>
          <w:color w:val="000000"/>
          <w:lang w:eastAsia="en-GB"/>
        </w:rPr>
        <w:t xml:space="preserve"> academic)</w:t>
      </w:r>
    </w:p>
    <w:p w14:paraId="5CFF16BC" w14:textId="77777777" w:rsidR="00EB610B" w:rsidRDefault="00655E1E" w:rsidP="002E2ACE">
      <w:pPr>
        <w:spacing w:line="480" w:lineRule="auto"/>
      </w:pPr>
      <w:r>
        <w:t xml:space="preserve">It is possible, therefore, to publish </w:t>
      </w:r>
      <w:r w:rsidR="00F246A1">
        <w:t xml:space="preserve">in discipline-based pedagogic journals, using discipline-based </w:t>
      </w:r>
      <w:r w:rsidR="00B26624">
        <w:t>pedagogic</w:t>
      </w:r>
      <w:r w:rsidR="00F246A1">
        <w:t xml:space="preserve"> literature to underpin</w:t>
      </w:r>
      <w:r w:rsidR="005D3C65">
        <w:t xml:space="preserve"> one’s findings. However, interviewees were enthusiastic about engaging with SoTL, and were aware of the troublesome nature of the language involved.</w:t>
      </w:r>
    </w:p>
    <w:p w14:paraId="41180EA0" w14:textId="77777777" w:rsidR="00EB610B" w:rsidRDefault="00EB610B" w:rsidP="00655E1E">
      <w:pPr>
        <w:spacing w:line="240" w:lineRule="auto"/>
      </w:pPr>
      <w:r>
        <w:lastRenderedPageBreak/>
        <w:t>“</w:t>
      </w:r>
      <w:r w:rsidRPr="00B422CB">
        <w:rPr>
          <w:rFonts w:ascii="Calibri" w:eastAsia="Times New Roman" w:hAnsi="Calibri" w:cs="Times New Roman"/>
          <w:i/>
          <w:color w:val="000000"/>
          <w:lang w:eastAsia="en-GB"/>
        </w:rPr>
        <w:t>But I think I’m quite active in the scholarship, if that is scholarship, trying to get some publications, which is think is the hardest for, I don’t know if it’s fair to say for us, but it is for me. I think it’s a completely different languag</w:t>
      </w:r>
      <w:r>
        <w:rPr>
          <w:rFonts w:ascii="Calibri" w:eastAsia="Times New Roman" w:hAnsi="Calibri" w:cs="Times New Roman"/>
          <w:i/>
          <w:color w:val="000000"/>
          <w:lang w:eastAsia="en-GB"/>
        </w:rPr>
        <w:t xml:space="preserve">e we need </w:t>
      </w:r>
      <w:r w:rsidRPr="00B422CB">
        <w:rPr>
          <w:rFonts w:ascii="Calibri" w:eastAsia="Times New Roman" w:hAnsi="Calibri" w:cs="Times New Roman"/>
          <w:i/>
          <w:color w:val="000000"/>
          <w:lang w:eastAsia="en-GB"/>
        </w:rPr>
        <w:t>to get engaged with, isn’t it?</w:t>
      </w:r>
      <w:r>
        <w:t>”</w:t>
      </w:r>
      <w:r w:rsidR="0074453C">
        <w:t xml:space="preserve"> (</w:t>
      </w:r>
      <w:r w:rsidR="00BB379E">
        <w:t>mid-career</w:t>
      </w:r>
      <w:r w:rsidR="0074453C">
        <w:t xml:space="preserve"> academic)</w:t>
      </w:r>
    </w:p>
    <w:p w14:paraId="52F5F248" w14:textId="77777777" w:rsidR="00DC7A2E" w:rsidRDefault="00DC7A2E" w:rsidP="002E2ACE">
      <w:pPr>
        <w:spacing w:line="480" w:lineRule="auto"/>
      </w:pPr>
    </w:p>
    <w:p w14:paraId="405C8C0C" w14:textId="77777777" w:rsidR="008B4DC6" w:rsidRDefault="008B4DC6" w:rsidP="002E2ACE">
      <w:pPr>
        <w:spacing w:line="480" w:lineRule="auto"/>
      </w:pPr>
      <w:r>
        <w:t>There was a lack of evidence of interviewees publishing in</w:t>
      </w:r>
      <w:r w:rsidR="002E2ACE">
        <w:t xml:space="preserve"> mainstream pedagogic journals. While some of the interviewees did publish in these journals, this was not normal practice across the sample, with individuals </w:t>
      </w:r>
      <w:r>
        <w:t xml:space="preserve">preferring to </w:t>
      </w:r>
      <w:r w:rsidR="00590C32">
        <w:t xml:space="preserve">stick with discipline-based journals and conference proceedings. This reluctance to join the mainstream was for a variety of reasons; </w:t>
      </w:r>
      <w:r w:rsidR="004F71EF">
        <w:t xml:space="preserve">for example </w:t>
      </w:r>
      <w:r w:rsidR="00590C32">
        <w:t xml:space="preserve">difficulties in engagement with </w:t>
      </w:r>
      <w:r w:rsidR="0074453C">
        <w:t>the literature</w:t>
      </w:r>
      <w:r w:rsidR="004F71EF">
        <w:t xml:space="preserve">, </w:t>
      </w:r>
      <w:r w:rsidR="0074453C">
        <w:t xml:space="preserve">or the </w:t>
      </w:r>
      <w:r w:rsidR="004F71EF">
        <w:t>language</w:t>
      </w:r>
      <w:r w:rsidR="0074453C">
        <w:t xml:space="preserve"> used within </w:t>
      </w:r>
      <w:r w:rsidR="00DC7A2E">
        <w:t>mainstream pedagogic discourse</w:t>
      </w:r>
      <w:r w:rsidR="004F71EF">
        <w:t xml:space="preserve">. However, there were also other barriers experienced by the interviewees, relating to research methods, data handling and </w:t>
      </w:r>
      <w:r w:rsidR="00703EA3">
        <w:t xml:space="preserve">a clash of </w:t>
      </w:r>
      <w:r w:rsidR="004F71EF">
        <w:t xml:space="preserve">identity </w:t>
      </w:r>
      <w:r w:rsidR="00703EA3">
        <w:t>between pedagogic researcher and</w:t>
      </w:r>
      <w:r w:rsidR="004F71EF">
        <w:t xml:space="preserve"> scientist</w:t>
      </w:r>
      <w:r w:rsidR="002E2ACE">
        <w:t>, encapsulating the troublesome nature of Threshold Concepts</w:t>
      </w:r>
      <w:r w:rsidR="004F71EF">
        <w:t>.</w:t>
      </w:r>
    </w:p>
    <w:p w14:paraId="397584AC" w14:textId="77777777" w:rsidR="007A4AC2" w:rsidRPr="007A4AC2" w:rsidRDefault="007A4AC2" w:rsidP="007A4AC2">
      <w:pPr>
        <w:spacing w:after="0" w:line="240" w:lineRule="auto"/>
      </w:pPr>
      <w:r>
        <w:t>“</w:t>
      </w:r>
      <w:r w:rsidRPr="007A4AC2">
        <w:rPr>
          <w:i/>
        </w:rPr>
        <w:t>I think it was getting to grips with qualitative research, it was getting to grip with statistics so you could do with Likert scales, drawing out textual themes, it was, I mean, I can do it, but I don’t necessarily think that I find it easy. It’s not as something that comes as second nature, and part of me just thinks – gosh, you know, give me some enzyme graphs and I’m OK.</w:t>
      </w:r>
      <w:r>
        <w:rPr>
          <w:i/>
        </w:rPr>
        <w:t xml:space="preserve"> S</w:t>
      </w:r>
      <w:r w:rsidRPr="007A4AC2">
        <w:rPr>
          <w:i/>
        </w:rPr>
        <w:t>o</w:t>
      </w:r>
      <w:r>
        <w:rPr>
          <w:i/>
        </w:rPr>
        <w:t xml:space="preserve"> I have found it a struggle,</w:t>
      </w:r>
      <w:r w:rsidRPr="007A4AC2">
        <w:rPr>
          <w:i/>
        </w:rPr>
        <w:t xml:space="preserve"> I find that there’s a, I don’t know, it’s dressed up sometimes in a really impenetrable language, even more so than I think scientific research at times. I think that people use terms differently, whereas I think in science, a scientific term is what it is, and people in that discipline will use it in exactly the same way, whereas I don’t think that’s necessarily the same case for sort of teaching and scholarship language in that sense. There’s a lot of borrowed language which I find a little irrita</w:t>
      </w:r>
      <w:r>
        <w:rPr>
          <w:i/>
        </w:rPr>
        <w:t xml:space="preserve">ting from time to time, </w:t>
      </w:r>
      <w:r w:rsidRPr="007A4AC2">
        <w:rPr>
          <w:i/>
        </w:rPr>
        <w:t>and I just don’t necessarily find the papers particularly readable</w:t>
      </w:r>
      <w:r>
        <w:rPr>
          <w:i/>
        </w:rPr>
        <w:t>.</w:t>
      </w:r>
      <w:r>
        <w:t>”</w:t>
      </w:r>
      <w:r w:rsidR="0074453C">
        <w:t xml:space="preserve"> (</w:t>
      </w:r>
      <w:r w:rsidR="00BB379E">
        <w:t>mid-career</w:t>
      </w:r>
      <w:r w:rsidR="0074453C">
        <w:t xml:space="preserve"> academic)</w:t>
      </w:r>
    </w:p>
    <w:p w14:paraId="6C6F8BEE" w14:textId="77777777" w:rsidR="004F71EF" w:rsidRDefault="004F71EF" w:rsidP="00BA24B5">
      <w:pPr>
        <w:spacing w:line="360" w:lineRule="auto"/>
      </w:pPr>
    </w:p>
    <w:p w14:paraId="0E581450" w14:textId="77777777" w:rsidR="004E34A6" w:rsidRPr="007A4AC2" w:rsidRDefault="004E34A6" w:rsidP="00AD39A5">
      <w:pPr>
        <w:spacing w:line="480" w:lineRule="auto"/>
      </w:pPr>
      <w:r>
        <w:t>As with the</w:t>
      </w:r>
      <w:r w:rsidR="00115A32">
        <w:t xml:space="preserve"> previous</w:t>
      </w:r>
      <w:r>
        <w:t xml:space="preserve"> examples in the Informed dimension, there is evidence of liminality when engaging with pedagogic research and publishing, and hesitation in moving forward into the mainstream</w:t>
      </w:r>
      <w:r w:rsidR="00AD39A5">
        <w:t>, which encompasses both epistemology and ontology</w:t>
      </w:r>
      <w:r>
        <w:t xml:space="preserve">. </w:t>
      </w:r>
    </w:p>
    <w:p w14:paraId="640FF56F" w14:textId="77777777" w:rsidR="004E34A6" w:rsidRDefault="004E34A6" w:rsidP="00BA24B5">
      <w:pPr>
        <w:spacing w:line="360" w:lineRule="auto"/>
        <w:rPr>
          <w:b/>
        </w:rPr>
      </w:pPr>
    </w:p>
    <w:p w14:paraId="5347A240" w14:textId="77777777" w:rsidR="004F71EF" w:rsidRPr="004F71EF" w:rsidRDefault="004F71EF" w:rsidP="00AD39A5">
      <w:pPr>
        <w:spacing w:line="480" w:lineRule="auto"/>
        <w:rPr>
          <w:b/>
        </w:rPr>
      </w:pPr>
      <w:r w:rsidRPr="004F71EF">
        <w:rPr>
          <w:b/>
        </w:rPr>
        <w:t>Conception of Learning</w:t>
      </w:r>
    </w:p>
    <w:p w14:paraId="7E2865E9" w14:textId="77777777" w:rsidR="00BA24B5" w:rsidRDefault="007F0014" w:rsidP="00AD39A5">
      <w:pPr>
        <w:spacing w:line="480" w:lineRule="auto"/>
      </w:pPr>
      <w:r>
        <w:t xml:space="preserve">The Conception dimension of teaching and learning is perhaps </w:t>
      </w:r>
      <w:r w:rsidR="004E34A6">
        <w:t>the most difficult to elucidate within the confines of this study</w:t>
      </w:r>
      <w:r>
        <w:t xml:space="preserve">. Although it is related to academics’ engagement with SoTL, in that an </w:t>
      </w:r>
      <w:r>
        <w:lastRenderedPageBreak/>
        <w:t>understanding of pedagogic literature (ID) and writing one’s own articles (ComD) leads to a more student-centred conceptual model of education, it is still possible to be student-centred early on in one’s career. There is, therefore, an ontological element to this dimension.</w:t>
      </w:r>
      <w:r w:rsidR="00FD0417">
        <w:t xml:space="preserve"> The following examples from interviewees at different stages of their career, demonstrates the complexity of this dimension.</w:t>
      </w:r>
    </w:p>
    <w:p w14:paraId="6EDA94BA" w14:textId="77777777" w:rsidR="00D73375" w:rsidRDefault="00D73375" w:rsidP="007A4AC2">
      <w:pPr>
        <w:spacing w:after="0" w:line="240" w:lineRule="auto"/>
      </w:pPr>
      <w:r>
        <w:t>“</w:t>
      </w:r>
      <w:r w:rsidRPr="00D73375">
        <w:rPr>
          <w:rStyle w:val="normaltextrun"/>
          <w:rFonts w:ascii="Calibri" w:hAnsi="Calibri"/>
          <w:i/>
        </w:rPr>
        <w:t xml:space="preserve">And if their teacher isn’t top of the notch research active, what value do they put upon it? I mean, I don’t like to blow my own trumpet in from of the </w:t>
      </w:r>
      <w:r w:rsidRPr="00D73375">
        <w:rPr>
          <w:rStyle w:val="findhit"/>
          <w:rFonts w:ascii="Calibri" w:hAnsi="Calibri"/>
          <w:i/>
        </w:rPr>
        <w:t>stud</w:t>
      </w:r>
      <w:r w:rsidRPr="00D73375">
        <w:rPr>
          <w:rStyle w:val="normaltextrun"/>
          <w:rFonts w:ascii="Calibri" w:hAnsi="Calibri"/>
          <w:i/>
        </w:rPr>
        <w:t>ents, but just occasionally I put a couple of my publications in front of classes and I’ve been disheartened by the fact that no-one bloody well reads them!</w:t>
      </w:r>
      <w:r w:rsidRPr="00D73375">
        <w:t xml:space="preserve">” </w:t>
      </w:r>
      <w:r w:rsidR="00606982">
        <w:t xml:space="preserve">(late </w:t>
      </w:r>
      <w:r>
        <w:t>career academic, little engagement with SoTL)</w:t>
      </w:r>
    </w:p>
    <w:p w14:paraId="528891CA" w14:textId="77777777" w:rsidR="00D73375" w:rsidRDefault="00D73375" w:rsidP="007A4AC2">
      <w:pPr>
        <w:spacing w:after="0" w:line="240" w:lineRule="auto"/>
      </w:pPr>
    </w:p>
    <w:p w14:paraId="5C4DD3B7" w14:textId="77777777" w:rsidR="00D73375" w:rsidRDefault="004E34A6" w:rsidP="00AD39A5">
      <w:pPr>
        <w:spacing w:after="0" w:line="480" w:lineRule="auto"/>
      </w:pPr>
      <w:r>
        <w:t>This late career academic</w:t>
      </w:r>
      <w:r w:rsidR="00D73375">
        <w:t xml:space="preserve"> displays a teacher-centred conception, placing importance on the subject knowledge of the teacher. However, the same academic later expresses a more student-centred approach to learning, expressing their pleasure at seeing student learning in a face-to-face situation.</w:t>
      </w:r>
    </w:p>
    <w:p w14:paraId="30BFEB73" w14:textId="77777777" w:rsidR="00D73375" w:rsidRPr="00606982" w:rsidRDefault="00D73375" w:rsidP="00D73375">
      <w:pPr>
        <w:spacing w:before="100" w:beforeAutospacing="1" w:after="100" w:afterAutospacing="1" w:line="240" w:lineRule="auto"/>
        <w:textAlignment w:val="baseline"/>
      </w:pPr>
      <w:r>
        <w:rPr>
          <w:rFonts w:ascii="Calibri" w:eastAsia="Times New Roman" w:hAnsi="Calibri" w:cs="Segoe UI"/>
          <w:lang w:eastAsia="en-GB"/>
        </w:rPr>
        <w:t>“</w:t>
      </w:r>
      <w:r w:rsidRPr="00D73375">
        <w:rPr>
          <w:rFonts w:ascii="Calibri" w:eastAsia="Times New Roman" w:hAnsi="Calibri" w:cs="Segoe UI"/>
          <w:i/>
          <w:lang w:eastAsia="en-GB"/>
        </w:rPr>
        <w:t>I far prefer working with people, face to face, and I find an interaction with a student probably the most rewarding because the seeing of realisation in their faces or whatever is great.</w:t>
      </w:r>
      <w:r>
        <w:rPr>
          <w:rFonts w:ascii="Calibri" w:eastAsia="Times New Roman" w:hAnsi="Calibri" w:cs="Segoe UI"/>
          <w:lang w:eastAsia="en-GB"/>
        </w:rPr>
        <w:t>”</w:t>
      </w:r>
      <w:r w:rsidRPr="00D73375">
        <w:rPr>
          <w:rFonts w:ascii="Calibri" w:eastAsia="Times New Roman" w:hAnsi="Calibri" w:cs="Segoe UI"/>
          <w:lang w:eastAsia="en-GB"/>
        </w:rPr>
        <w:t> </w:t>
      </w:r>
      <w:r w:rsidR="00606982">
        <w:t xml:space="preserve">(late </w:t>
      </w:r>
      <w:r w:rsidR="00BF5AF7">
        <w:t>career academic, little engagement with SoTL)</w:t>
      </w:r>
    </w:p>
    <w:p w14:paraId="4DB857B2" w14:textId="77777777" w:rsidR="00D73375" w:rsidRDefault="004E34A6" w:rsidP="00AD39A5">
      <w:pPr>
        <w:spacing w:after="0" w:line="480" w:lineRule="auto"/>
      </w:pPr>
      <w:r>
        <w:t>Late career academics, with little engagement with SoTL, and focused on the discipline, may not be aware of the concepts of “student-centred” learning. As such, they place emphasis on traditional modes of learning. However, it is still interesting to see that at an intuitive level, they may still subscribe to notions of “student-centredness”.</w:t>
      </w:r>
    </w:p>
    <w:p w14:paraId="340914FE" w14:textId="77777777" w:rsidR="004E34A6" w:rsidRDefault="004E34A6" w:rsidP="00AD39A5">
      <w:pPr>
        <w:spacing w:after="0" w:line="480" w:lineRule="auto"/>
      </w:pPr>
    </w:p>
    <w:p w14:paraId="5B771922" w14:textId="77777777" w:rsidR="00BF5AF7" w:rsidRDefault="00606982" w:rsidP="00AD39A5">
      <w:pPr>
        <w:spacing w:after="0" w:line="480" w:lineRule="auto"/>
      </w:pPr>
      <w:r>
        <w:t>There is evidence, however, of how mid-career academics’ conception of learning develops from teacher- to student-centred.</w:t>
      </w:r>
    </w:p>
    <w:p w14:paraId="030C046C" w14:textId="77777777" w:rsidR="00BF5AF7" w:rsidRDefault="00BF5AF7" w:rsidP="00BF5AF7">
      <w:pPr>
        <w:spacing w:after="0"/>
      </w:pPr>
    </w:p>
    <w:p w14:paraId="7F125941" w14:textId="77777777" w:rsidR="00EB610B" w:rsidRDefault="00EB610B" w:rsidP="007A4AC2">
      <w:pPr>
        <w:spacing w:after="0" w:line="240" w:lineRule="auto"/>
      </w:pPr>
      <w:r>
        <w:t>“</w:t>
      </w:r>
      <w:r w:rsidRPr="00EB610B">
        <w:rPr>
          <w:i/>
        </w:rPr>
        <w:t xml:space="preserve">when I started teaching, I thought I was there to actually tell them stuff and tell them things that </w:t>
      </w:r>
      <w:r w:rsidRPr="00FD0417">
        <w:t>they didn’t know or</w:t>
      </w:r>
      <w:r w:rsidRPr="00EB610B">
        <w:rPr>
          <w:i/>
        </w:rPr>
        <w:t xml:space="preserve"> couldn’t find out, anything other than me, and it took me a good few years to realise that I was there to help them to understand stuff and sort of curate knowledge for them in a way that made sense</w:t>
      </w:r>
      <w:r>
        <w:t xml:space="preserve">… </w:t>
      </w:r>
      <w:r w:rsidRPr="00EB610B">
        <w:rPr>
          <w:rFonts w:ascii="Calibri" w:eastAsia="Times New Roman" w:hAnsi="Calibri" w:cs="Times New Roman"/>
          <w:i/>
          <w:color w:val="000000"/>
          <w:lang w:eastAsia="en-GB"/>
        </w:rPr>
        <w:t>I try to talk to staff, and tell them, this is, if I could give you one thing it would be that insight, into what your role as a teacher is. But I don’t think it’s possible, people kind of have to learn it themselves</w:t>
      </w:r>
      <w:r w:rsidRPr="00EB610B">
        <w:t>.</w:t>
      </w:r>
      <w:r>
        <w:t>”</w:t>
      </w:r>
      <w:r w:rsidR="00FD0417">
        <w:t xml:space="preserve"> (mid-career academic</w:t>
      </w:r>
      <w:r w:rsidR="00D73375">
        <w:t>, active engagement with SoTL</w:t>
      </w:r>
      <w:r w:rsidR="00FD0417">
        <w:t>)</w:t>
      </w:r>
    </w:p>
    <w:p w14:paraId="7DF71164" w14:textId="77777777" w:rsidR="00FD0417" w:rsidRDefault="00FD0417" w:rsidP="007A4AC2">
      <w:pPr>
        <w:spacing w:after="0" w:line="240" w:lineRule="auto"/>
      </w:pPr>
    </w:p>
    <w:p w14:paraId="0A632723" w14:textId="77777777" w:rsidR="00BF5AF7" w:rsidRDefault="00BF5AF7" w:rsidP="00AD39A5">
      <w:pPr>
        <w:spacing w:after="0" w:line="480" w:lineRule="auto"/>
      </w:pPr>
      <w:r>
        <w:t>Similarly, this mid-career academic expresses the importance of knowing students as being crucial to effective learning.</w:t>
      </w:r>
    </w:p>
    <w:p w14:paraId="18E11C4B" w14:textId="77777777" w:rsidR="00BF5AF7" w:rsidRDefault="00BF5AF7" w:rsidP="00FD0417">
      <w:pPr>
        <w:spacing w:after="0" w:line="240" w:lineRule="auto"/>
      </w:pPr>
    </w:p>
    <w:p w14:paraId="0F073407" w14:textId="77777777" w:rsidR="00FD0417" w:rsidRDefault="00FD0417" w:rsidP="00FD0417">
      <w:pPr>
        <w:spacing w:after="0" w:line="240" w:lineRule="auto"/>
      </w:pPr>
      <w:r>
        <w:t>“</w:t>
      </w:r>
      <w:r w:rsidRPr="00FD0417">
        <w:rPr>
          <w:i/>
        </w:rPr>
        <w:t>I think the two things come together, because I don’t think that you can really teach effectively if you don’t know who your students are.</w:t>
      </w:r>
      <w:r>
        <w:t>” (mid-career academic</w:t>
      </w:r>
      <w:r w:rsidR="00D73375">
        <w:t>, active engagement with SoTL</w:t>
      </w:r>
      <w:r>
        <w:t>)</w:t>
      </w:r>
    </w:p>
    <w:p w14:paraId="2263AEA9" w14:textId="77777777" w:rsidR="00FD0417" w:rsidRDefault="00FD0417" w:rsidP="00FD0417">
      <w:pPr>
        <w:spacing w:after="0" w:line="240" w:lineRule="auto"/>
      </w:pPr>
    </w:p>
    <w:p w14:paraId="6530531F" w14:textId="77777777" w:rsidR="00BF5AF7" w:rsidRDefault="00BF5AF7" w:rsidP="00AD39A5">
      <w:pPr>
        <w:spacing w:after="0" w:line="480" w:lineRule="auto"/>
      </w:pPr>
      <w:r>
        <w:t>This early-career academic exemplifies a student-centred approach to learning, expressing how students can learn with the teacher as facilitator.</w:t>
      </w:r>
    </w:p>
    <w:p w14:paraId="09F1C247" w14:textId="77777777" w:rsidR="00BF5AF7" w:rsidRDefault="00BF5AF7" w:rsidP="00FD0417">
      <w:pPr>
        <w:spacing w:after="0" w:line="240" w:lineRule="auto"/>
      </w:pPr>
    </w:p>
    <w:p w14:paraId="1AB6D47E" w14:textId="77777777" w:rsidR="00FD0417" w:rsidRPr="00FD0417" w:rsidRDefault="00FD0417" w:rsidP="00FD0417">
      <w:pPr>
        <w:spacing w:after="0"/>
        <w:rPr>
          <w:rFonts w:ascii="Calibri" w:eastAsia="Times New Roman" w:hAnsi="Calibri" w:cs="Times New Roman"/>
          <w:color w:val="000000"/>
          <w:lang w:eastAsia="en-GB"/>
        </w:rPr>
      </w:pPr>
      <w:r>
        <w:t>“</w:t>
      </w:r>
      <w:r w:rsidRPr="00FD0417">
        <w:rPr>
          <w:rFonts w:ascii="Calibri" w:eastAsia="Times New Roman" w:hAnsi="Calibri" w:cs="Times New Roman"/>
          <w:i/>
          <w:color w:val="000000"/>
          <w:lang w:eastAsia="en-GB"/>
        </w:rPr>
        <w:t>These guys can do amazing things without any of my influence at all. I just need to get them started and then they can surprise you. And that’s a really lovely feeling. I really like that.</w:t>
      </w:r>
      <w:r>
        <w:t>” (early-career academic</w:t>
      </w:r>
      <w:r w:rsidR="00D73375">
        <w:t>, new to SoTL</w:t>
      </w:r>
      <w:r>
        <w:t>)</w:t>
      </w:r>
    </w:p>
    <w:p w14:paraId="7302B02D" w14:textId="77777777" w:rsidR="00FD0417" w:rsidRDefault="00FD0417" w:rsidP="007A4AC2">
      <w:pPr>
        <w:spacing w:after="0" w:line="240" w:lineRule="auto"/>
      </w:pPr>
    </w:p>
    <w:p w14:paraId="492D9659" w14:textId="77777777" w:rsidR="007A4AC2" w:rsidRDefault="004E34A6" w:rsidP="00AD39A5">
      <w:pPr>
        <w:spacing w:after="0" w:line="480" w:lineRule="auto"/>
      </w:pPr>
      <w:r>
        <w:t xml:space="preserve">Interviewees at all </w:t>
      </w:r>
      <w:r w:rsidR="00296E83">
        <w:t xml:space="preserve">career </w:t>
      </w:r>
      <w:r>
        <w:t xml:space="preserve">stages expressed conceptions of “student-centredness” more subtly than </w:t>
      </w:r>
      <w:r w:rsidR="00296E83">
        <w:t>the binary division</w:t>
      </w:r>
      <w:r>
        <w:t xml:space="preserve"> conveyed in Trigwell et al’s (2000) Model of Scholarship.</w:t>
      </w:r>
      <w:r w:rsidR="00546ED9">
        <w:t xml:space="preserve"> Many of them expressed it as an intuitive belief, while others articulated it as a consequence of engagement with SoTL, highlighting the complexity of this dimension.</w:t>
      </w:r>
    </w:p>
    <w:p w14:paraId="74EDB2AA" w14:textId="77777777" w:rsidR="007A4AC2" w:rsidRPr="00404C32" w:rsidRDefault="007A4AC2" w:rsidP="00AD39A5">
      <w:pPr>
        <w:spacing w:after="0" w:line="480" w:lineRule="auto"/>
      </w:pPr>
    </w:p>
    <w:p w14:paraId="5DEC17E5" w14:textId="77777777" w:rsidR="00D73375" w:rsidRPr="00D73375" w:rsidRDefault="00D73375" w:rsidP="00AD39A5">
      <w:pPr>
        <w:spacing w:line="480" w:lineRule="auto"/>
        <w:rPr>
          <w:b/>
        </w:rPr>
      </w:pPr>
      <w:r w:rsidRPr="00D73375">
        <w:rPr>
          <w:b/>
        </w:rPr>
        <w:t>Threshold Concepts in SoTL</w:t>
      </w:r>
    </w:p>
    <w:p w14:paraId="455D9B03" w14:textId="77777777" w:rsidR="004B1342" w:rsidRPr="00296E83" w:rsidRDefault="00D73375" w:rsidP="00AD39A5">
      <w:pPr>
        <w:spacing w:line="480" w:lineRule="auto"/>
      </w:pPr>
      <w:r>
        <w:t xml:space="preserve">Using Trigwell et al’s </w:t>
      </w:r>
      <w:r>
        <w:fldChar w:fldCharType="begin"/>
      </w:r>
      <w:r w:rsidR="009B054C">
        <w:instrText xml:space="preserve"> ADDIN ZOTERO_ITEM CSL_CITATION {"citationID":"23pqs5n9sv","properties":{"formattedCitation":"(2000)","plainCitation":"(2000)"},"citationItems":[{"id":104,"uris":["http://zotero.org/users/386570/items/CFNXGIMZ"],"uri":["http://zotero.org/users/386570/items/CFNXGIMZ"],"itemData":{"id":104,"type":"article-journal","title":"Scholarship of Teaching: a model","container-title":"Higher Education Research &amp; Development","page":"155-168","volume":"19","issue":"2","source":"EBSCOhost","abstract":"In this paper we present a model which describes the scholarship of teaching. We first explore what scholarship of teaching means, both in terms of the way it is represented in the literature and also the way it is understood by academic staff themselves. From this information, we derive a multi-dimensional model of scholarship of teaching which captures the variation found in the literature and empirical studies. In the final section, we illustrate how the model is used in informing the design of programs for development of the scholarship of teaching in universities. [ABSTRACT FROM AUTHOR]\nCopyright of Higher Education Research &amp; Development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Abstracts.)","ISSN":"07294360","call-number":"3839399","shortTitle":"Scholarship of Teaching","author":[{"family":"Trigwell","given":"Keith"},{"family":"Martin","given":"Elaine"},{"family":"Benjamin","given":"Joan"},{"family":"Prosser","given":"Mike"}],"issued":{"date-parts":[["2000",7]]}},"suppress-author":true}],"schema":"https://github.com/citation-style-language/schema/raw/master/csl-citation.json"} </w:instrText>
      </w:r>
      <w:r>
        <w:fldChar w:fldCharType="separate"/>
      </w:r>
      <w:r w:rsidRPr="00D73375">
        <w:rPr>
          <w:rFonts w:ascii="Calibri" w:hAnsi="Calibri"/>
        </w:rPr>
        <w:t>(2000)</w:t>
      </w:r>
      <w:r>
        <w:fldChar w:fldCharType="end"/>
      </w:r>
      <w:r>
        <w:t xml:space="preserve"> Model of Scholarship</w:t>
      </w:r>
      <w:r w:rsidR="00546ED9">
        <w:t xml:space="preserve"> is a useful tool to investigate Threshold Concepts in SoTL. As has been demonstrated, there are developmental thresholds with regards to engagement with </w:t>
      </w:r>
      <w:r w:rsidR="00B26624">
        <w:t>pedagogic</w:t>
      </w:r>
      <w:r w:rsidR="00546ED9">
        <w:t xml:space="preserve"> literature, pedagogic research and publication, and conception of learning. Academics who contributed to this study revealed their struggles with engagement with SoTL, and highlighted the barriers to engagement. Liminality is first identified in the early stages of moving from</w:t>
      </w:r>
      <w:r w:rsidR="00F3554C">
        <w:t xml:space="preserve"> personally held beliefs about learning and teaching to gaining initial knowledge of education theories. From the academics interviewed, engagement with the PGC, which is a normal requirement of academic probation in most universities, has facilitated these early engagements with literature and theory, improving early career academics first encounters with it. The experiences of </w:t>
      </w:r>
      <w:r w:rsidR="00BB379E">
        <w:t>mid-career</w:t>
      </w:r>
      <w:r w:rsidR="00F3554C">
        <w:t xml:space="preserve"> academics highlight where the real bottlenecks occur, in terms of engaging both with pedagogic literature and publishing pedagogic research, and this is in the conceptual shift into the mainstream. Accomplished </w:t>
      </w:r>
      <w:r w:rsidR="00BB379E">
        <w:t>mid-career</w:t>
      </w:r>
      <w:r w:rsidR="00F3554C">
        <w:t xml:space="preserve"> academics’ development appears to stall when confronted with mainstream pedagogic literature, and they confine themselves to </w:t>
      </w:r>
      <w:r w:rsidR="00F3554C">
        <w:lastRenderedPageBreak/>
        <w:t xml:space="preserve">publishing in discipline-specific pedagogic research journals. </w:t>
      </w:r>
      <w:r w:rsidR="00AD39A5">
        <w:t xml:space="preserve">There is a sense that mainstream pedagogic literature, both in terms of understanding and production, is bounded and out of reach. </w:t>
      </w:r>
      <w:r w:rsidR="00F3554C">
        <w:t xml:space="preserve">The language used, the research paradigm, </w:t>
      </w:r>
      <w:r w:rsidR="00EE3FCD">
        <w:t>research methods and data analysis are all identified as being beyond the threshold</w:t>
      </w:r>
      <w:r w:rsidR="00AD39A5">
        <w:t>, and troublesome in nature</w:t>
      </w:r>
      <w:r w:rsidR="00EE3FCD">
        <w:t xml:space="preserve">. </w:t>
      </w:r>
      <w:r w:rsidR="00A4278E">
        <w:t xml:space="preserve">Bound up with these barriers is the ontological transformation required for academics to become pedagogic researchers, </w:t>
      </w:r>
      <w:r w:rsidR="00AD39A5">
        <w:t>and the oscillation between the identities of scientist and practitioner</w:t>
      </w:r>
      <w:r w:rsidR="00A4278E">
        <w:t>. The tension between the two</w:t>
      </w:r>
      <w:r w:rsidR="00BB379E">
        <w:t xml:space="preserve"> identities is palpable, as mid-</w:t>
      </w:r>
      <w:r w:rsidR="00A4278E">
        <w:t>career academics struggle with letting go of their identity as a</w:t>
      </w:r>
      <w:r w:rsidR="00502DA2">
        <w:t xml:space="preserve"> Life S</w:t>
      </w:r>
      <w:r w:rsidR="00A4278E">
        <w:t>cientist and what that means in terms of carrying out research</w:t>
      </w:r>
      <w:r w:rsidR="00AD39A5">
        <w:t xml:space="preserve"> within the discipline</w:t>
      </w:r>
      <w:r w:rsidR="00A4278E">
        <w:t>.</w:t>
      </w:r>
      <w:r w:rsidR="00AD39A5">
        <w:t xml:space="preserve"> </w:t>
      </w:r>
      <w:r w:rsidR="00296E83">
        <w:t xml:space="preserve">As such, there is inconsistency in the Trigwell et al (2000) model of scholarship, in the </w:t>
      </w:r>
      <w:r w:rsidR="00296E83">
        <w:rPr>
          <w:i/>
        </w:rPr>
        <w:t>Informed</w:t>
      </w:r>
      <w:r w:rsidR="00296E83">
        <w:t xml:space="preserve"> and </w:t>
      </w:r>
      <w:r w:rsidR="00296E83">
        <w:rPr>
          <w:i/>
        </w:rPr>
        <w:t>Communication</w:t>
      </w:r>
      <w:r w:rsidR="00296E83">
        <w:t xml:space="preserve"> dimensions; </w:t>
      </w:r>
      <w:r w:rsidR="004E6157">
        <w:t xml:space="preserve">for the former, </w:t>
      </w:r>
      <w:r w:rsidR="00296E83">
        <w:t xml:space="preserve">action research is being carried out with only a general engagement with pedagogic literature, and </w:t>
      </w:r>
      <w:r w:rsidR="004E6157">
        <w:t xml:space="preserve">for the latter, </w:t>
      </w:r>
      <w:r w:rsidR="00296E83">
        <w:t>there is a step between presentations at national conferences and publication i</w:t>
      </w:r>
      <w:r w:rsidR="004E6157">
        <w:t>n international journals, in which academics publish in discipline-specific pedagogic journals.</w:t>
      </w:r>
    </w:p>
    <w:p w14:paraId="33108E5E" w14:textId="77777777" w:rsidR="005509EC" w:rsidRPr="005509EC" w:rsidRDefault="005509EC" w:rsidP="00AD39A5">
      <w:pPr>
        <w:spacing w:line="480" w:lineRule="auto"/>
        <w:rPr>
          <w:b/>
        </w:rPr>
      </w:pPr>
      <w:r>
        <w:rPr>
          <w:b/>
        </w:rPr>
        <w:t>The Future of SoTL</w:t>
      </w:r>
    </w:p>
    <w:p w14:paraId="1D32828B" w14:textId="77777777" w:rsidR="00502DA2" w:rsidRDefault="004E6157" w:rsidP="00AD39A5">
      <w:pPr>
        <w:spacing w:line="480" w:lineRule="auto"/>
      </w:pPr>
      <w:r>
        <w:t xml:space="preserve">There is </w:t>
      </w:r>
      <w:r w:rsidR="00502DA2">
        <w:t>a lesson to be learned</w:t>
      </w:r>
      <w:r w:rsidR="00B26624">
        <w:t xml:space="preserve"> for the development of support for engagement with SoTL</w:t>
      </w:r>
      <w:r w:rsidR="00502DA2">
        <w:t>. Early career academics in this study have demonstrated that they can make progress via the support network offered by institutional PGCs.</w:t>
      </w:r>
      <w:r>
        <w:t xml:space="preserve"> These academics have an early awareness of pedagogic literature and insight into the professional development they have yet to undertake.</w:t>
      </w:r>
      <w:r w:rsidR="00502DA2">
        <w:t xml:space="preserve"> However</w:t>
      </w:r>
      <w:r>
        <w:t>, it is often the case that the</w:t>
      </w:r>
      <w:r w:rsidR="00502DA2">
        <w:t xml:space="preserve"> support</w:t>
      </w:r>
      <w:r>
        <w:t xml:space="preserve"> offered at PGC level</w:t>
      </w:r>
      <w:r w:rsidR="00502DA2">
        <w:t xml:space="preserve"> does not continue post-award. A much needed</w:t>
      </w:r>
      <w:r w:rsidR="00AD39A5">
        <w:t xml:space="preserve"> development is to facilitate equivalent</w:t>
      </w:r>
      <w:r w:rsidR="00F167DA">
        <w:t xml:space="preserve"> support of</w:t>
      </w:r>
      <w:r w:rsidR="00AD39A5">
        <w:t xml:space="preserve"> SoTL development</w:t>
      </w:r>
      <w:r w:rsidR="00502DA2">
        <w:t xml:space="preserve"> for </w:t>
      </w:r>
      <w:r w:rsidR="00BB379E">
        <w:t>mid-career</w:t>
      </w:r>
      <w:r w:rsidR="00502DA2">
        <w:t xml:space="preserve"> academics. This could be done in a variety of ways; through continuing professional development (CPD), through </w:t>
      </w:r>
      <w:r>
        <w:t>formal qualification</w:t>
      </w:r>
      <w:r w:rsidR="00502DA2">
        <w:t xml:space="preserve"> such as a diploma</w:t>
      </w:r>
      <w:r w:rsidR="00B26624">
        <w:t xml:space="preserve"> (DipEd)</w:t>
      </w:r>
      <w:r w:rsidR="00502DA2">
        <w:t xml:space="preserve"> or </w:t>
      </w:r>
      <w:r w:rsidR="00B26624">
        <w:t>Masters (</w:t>
      </w:r>
      <w:r w:rsidR="00502DA2">
        <w:t>MEd</w:t>
      </w:r>
      <w:r w:rsidR="00B26624">
        <w:t>) in Higher Education</w:t>
      </w:r>
      <w:r w:rsidR="00502DA2">
        <w:t>, or through networks such as Learning Communities or Learned Societies</w:t>
      </w:r>
      <w:r w:rsidR="00B26624">
        <w:t>’ Education strands</w:t>
      </w:r>
      <w:r w:rsidR="00502DA2">
        <w:t xml:space="preserve">. Given than Teaching Focused academics are required to engage in all aspects of SoTL, and that they are also </w:t>
      </w:r>
      <w:r w:rsidR="00502DA2">
        <w:lastRenderedPageBreak/>
        <w:t>enthusiastic to do so, it would be wise for institutions to reflect on the need for such continuing support.</w:t>
      </w:r>
    </w:p>
    <w:p w14:paraId="35C6D288" w14:textId="77777777" w:rsidR="004E6157" w:rsidRDefault="004E6157" w:rsidP="00AD39A5">
      <w:pPr>
        <w:spacing w:line="480" w:lineRule="auto"/>
      </w:pPr>
      <w:r>
        <w:t>In conclusion, this group of Life Science Teaching-focused academics has shown their enthusiasm in engaging with SoTL at a number of levels. They have also expressed their desires to develop further. Many of the early Thresholds encountered by this group can be overcome by existing support mechanisms. However, the shift to mainstream pedagogy is one which remains a challenge for mid-career academics. There is an opportunity for development of longitudinal structured support, which in turn would benefit future students and their education.</w:t>
      </w:r>
    </w:p>
    <w:p w14:paraId="2787828D" w14:textId="77777777" w:rsidR="00401979" w:rsidRDefault="00401979" w:rsidP="00AD39A5">
      <w:pPr>
        <w:spacing w:line="480" w:lineRule="auto"/>
        <w:rPr>
          <w:b/>
        </w:rPr>
      </w:pPr>
      <w:r>
        <w:rPr>
          <w:b/>
        </w:rPr>
        <w:br w:type="page"/>
      </w:r>
    </w:p>
    <w:p w14:paraId="14A81838" w14:textId="77777777" w:rsidR="00401979" w:rsidRPr="00401979" w:rsidRDefault="00401979" w:rsidP="00C22B2F">
      <w:pPr>
        <w:spacing w:line="360" w:lineRule="auto"/>
      </w:pPr>
    </w:p>
    <w:p w14:paraId="0FB5CA47" w14:textId="77777777" w:rsidR="00901B12" w:rsidRPr="00401979" w:rsidRDefault="00901B12" w:rsidP="00432503">
      <w:pPr>
        <w:spacing w:line="480" w:lineRule="auto"/>
        <w:rPr>
          <w:b/>
          <w:sz w:val="24"/>
          <w:szCs w:val="24"/>
        </w:rPr>
      </w:pPr>
      <w:r w:rsidRPr="00401979">
        <w:rPr>
          <w:b/>
          <w:sz w:val="24"/>
          <w:szCs w:val="24"/>
        </w:rPr>
        <w:t>References</w:t>
      </w:r>
    </w:p>
    <w:p w14:paraId="4C1DC688" w14:textId="77777777" w:rsidR="009B054C" w:rsidRPr="009B054C" w:rsidRDefault="00901B12" w:rsidP="009B054C">
      <w:pPr>
        <w:pStyle w:val="Bibliography"/>
        <w:rPr>
          <w:rFonts w:ascii="Calibri" w:hAnsi="Calibri"/>
        </w:rPr>
      </w:pPr>
      <w:r>
        <w:fldChar w:fldCharType="begin"/>
      </w:r>
      <w:r w:rsidR="00BC6751">
        <w:instrText xml:space="preserve"> ADDIN ZOTERO_BIBL {"custom":[]} CSL_BIBLIOGRAPHY </w:instrText>
      </w:r>
      <w:r>
        <w:fldChar w:fldCharType="separate"/>
      </w:r>
      <w:r w:rsidR="009B054C" w:rsidRPr="009B054C">
        <w:rPr>
          <w:rFonts w:ascii="Calibri" w:hAnsi="Calibri"/>
        </w:rPr>
        <w:t xml:space="preserve">Antman, L., &amp; Olsson, T. (2007). A Two-Dimensional Matrix Model for Analysing Scholarly  Approaches to Teaching and Learning. In </w:t>
      </w:r>
      <w:r w:rsidR="009B054C" w:rsidRPr="009B054C">
        <w:rPr>
          <w:rFonts w:ascii="Calibri" w:hAnsi="Calibri"/>
          <w:i/>
          <w:iCs/>
        </w:rPr>
        <w:t>Improving Student Learning through Teaching</w:t>
      </w:r>
      <w:r w:rsidR="009B054C" w:rsidRPr="009B054C">
        <w:rPr>
          <w:rFonts w:ascii="Calibri" w:hAnsi="Calibri"/>
        </w:rPr>
        <w:t>. Oxford: The Oxford Centre for Staff and Learning Development.</w:t>
      </w:r>
    </w:p>
    <w:p w14:paraId="2D5626D9" w14:textId="77777777" w:rsidR="009B054C" w:rsidRPr="009B054C" w:rsidRDefault="009B054C" w:rsidP="009B054C">
      <w:pPr>
        <w:pStyle w:val="Bibliography"/>
        <w:rPr>
          <w:rFonts w:ascii="Calibri" w:hAnsi="Calibri"/>
        </w:rPr>
      </w:pPr>
      <w:r w:rsidRPr="009B054C">
        <w:rPr>
          <w:rFonts w:ascii="Calibri" w:hAnsi="Calibri"/>
        </w:rPr>
        <w:t xml:space="preserve">Boshier, R. (2009). Why is the Scholarship of Teaching and Learning such a hard sell? </w:t>
      </w:r>
      <w:r w:rsidRPr="009B054C">
        <w:rPr>
          <w:rFonts w:ascii="Calibri" w:hAnsi="Calibri"/>
          <w:i/>
          <w:iCs/>
        </w:rPr>
        <w:t>Higher Education Research &amp; Development</w:t>
      </w:r>
      <w:r w:rsidRPr="009B054C">
        <w:rPr>
          <w:rFonts w:ascii="Calibri" w:hAnsi="Calibri"/>
        </w:rPr>
        <w:t xml:space="preserve">, </w:t>
      </w:r>
      <w:r w:rsidRPr="009B054C">
        <w:rPr>
          <w:rFonts w:ascii="Calibri" w:hAnsi="Calibri"/>
          <w:i/>
          <w:iCs/>
        </w:rPr>
        <w:t>28</w:t>
      </w:r>
      <w:r w:rsidRPr="009B054C">
        <w:rPr>
          <w:rFonts w:ascii="Calibri" w:hAnsi="Calibri"/>
        </w:rPr>
        <w:t>(1), 1–15.</w:t>
      </w:r>
    </w:p>
    <w:p w14:paraId="5D1D2BB2" w14:textId="77777777" w:rsidR="009B054C" w:rsidRPr="009B054C" w:rsidRDefault="009B054C" w:rsidP="009B054C">
      <w:pPr>
        <w:pStyle w:val="Bibliography"/>
        <w:rPr>
          <w:rFonts w:ascii="Calibri" w:hAnsi="Calibri"/>
        </w:rPr>
      </w:pPr>
      <w:r w:rsidRPr="009B054C">
        <w:rPr>
          <w:rFonts w:ascii="Calibri" w:hAnsi="Calibri"/>
        </w:rPr>
        <w:t xml:space="preserve">Boyer, E. (1990). </w:t>
      </w:r>
      <w:r w:rsidRPr="009B054C">
        <w:rPr>
          <w:rFonts w:ascii="Calibri" w:hAnsi="Calibri"/>
          <w:i/>
          <w:iCs/>
        </w:rPr>
        <w:t>Scholarship reconsidered: Priorities of the professoriate.</w:t>
      </w:r>
      <w:r w:rsidRPr="009B054C">
        <w:rPr>
          <w:rFonts w:ascii="Calibri" w:hAnsi="Calibri"/>
        </w:rPr>
        <w:t xml:space="preserve"> San Francisco: Jossey-Bass.</w:t>
      </w:r>
    </w:p>
    <w:p w14:paraId="432235D6" w14:textId="77777777" w:rsidR="009B054C" w:rsidRPr="009B054C" w:rsidRDefault="009B054C" w:rsidP="009B054C">
      <w:pPr>
        <w:pStyle w:val="Bibliography"/>
        <w:rPr>
          <w:rFonts w:ascii="Calibri" w:hAnsi="Calibri"/>
        </w:rPr>
      </w:pPr>
      <w:r w:rsidRPr="009B054C">
        <w:rPr>
          <w:rFonts w:ascii="Calibri" w:hAnsi="Calibri"/>
        </w:rPr>
        <w:t xml:space="preserve">Bunnell, S. L., &amp; Bernstein, D. J. (2012). Overcoming Some Threshold Concepts in Scholarly Teaching. </w:t>
      </w:r>
      <w:r w:rsidRPr="009B054C">
        <w:rPr>
          <w:rFonts w:ascii="Calibri" w:hAnsi="Calibri"/>
          <w:i/>
          <w:iCs/>
        </w:rPr>
        <w:t>The Journal of Faculty Development</w:t>
      </w:r>
      <w:r w:rsidRPr="009B054C">
        <w:rPr>
          <w:rFonts w:ascii="Calibri" w:hAnsi="Calibri"/>
        </w:rPr>
        <w:t xml:space="preserve">, </w:t>
      </w:r>
      <w:r w:rsidRPr="009B054C">
        <w:rPr>
          <w:rFonts w:ascii="Calibri" w:hAnsi="Calibri"/>
          <w:i/>
          <w:iCs/>
        </w:rPr>
        <w:t>26</w:t>
      </w:r>
      <w:r w:rsidRPr="009B054C">
        <w:rPr>
          <w:rFonts w:ascii="Calibri" w:hAnsi="Calibri"/>
        </w:rPr>
        <w:t>(3), 14–18.</w:t>
      </w:r>
    </w:p>
    <w:p w14:paraId="12783B58" w14:textId="77777777" w:rsidR="009B054C" w:rsidRPr="009B054C" w:rsidRDefault="009B054C" w:rsidP="009B054C">
      <w:pPr>
        <w:pStyle w:val="Bibliography"/>
        <w:rPr>
          <w:rFonts w:ascii="Calibri" w:hAnsi="Calibri"/>
        </w:rPr>
      </w:pPr>
      <w:r w:rsidRPr="009B054C">
        <w:rPr>
          <w:rFonts w:ascii="Calibri" w:hAnsi="Calibri"/>
        </w:rPr>
        <w:t xml:space="preserve">Glassick, C. E., Huber, M. T., &amp; Maeroff, G. I. (1997). </w:t>
      </w:r>
      <w:r w:rsidRPr="009B054C">
        <w:rPr>
          <w:rFonts w:ascii="Calibri" w:hAnsi="Calibri"/>
          <w:i/>
          <w:iCs/>
        </w:rPr>
        <w:t>Scholarship assessed: Evaluation of the professoriate.</w:t>
      </w:r>
      <w:r w:rsidRPr="009B054C">
        <w:rPr>
          <w:rFonts w:ascii="Calibri" w:hAnsi="Calibri"/>
        </w:rPr>
        <w:t xml:space="preserve"> San Francisco: Jossey-Bass.</w:t>
      </w:r>
    </w:p>
    <w:p w14:paraId="29896853" w14:textId="77777777" w:rsidR="009B054C" w:rsidRPr="009B054C" w:rsidRDefault="009B054C" w:rsidP="009B054C">
      <w:pPr>
        <w:pStyle w:val="Bibliography"/>
        <w:rPr>
          <w:rFonts w:ascii="Calibri" w:hAnsi="Calibri"/>
        </w:rPr>
      </w:pPr>
      <w:r w:rsidRPr="009B054C">
        <w:rPr>
          <w:rFonts w:ascii="Calibri" w:hAnsi="Calibri"/>
        </w:rPr>
        <w:t xml:space="preserve">Hutchings, P., &amp; Shulman, L. E. (1999). The Scholarship of Teaching: New Elaborations, New Developments. </w:t>
      </w:r>
      <w:r w:rsidRPr="009B054C">
        <w:rPr>
          <w:rFonts w:ascii="Calibri" w:hAnsi="Calibri"/>
          <w:i/>
          <w:iCs/>
        </w:rPr>
        <w:t>Change</w:t>
      </w:r>
      <w:r w:rsidRPr="009B054C">
        <w:rPr>
          <w:rFonts w:ascii="Calibri" w:hAnsi="Calibri"/>
        </w:rPr>
        <w:t xml:space="preserve">, </w:t>
      </w:r>
      <w:r w:rsidRPr="009B054C">
        <w:rPr>
          <w:rFonts w:ascii="Calibri" w:hAnsi="Calibri"/>
          <w:i/>
          <w:iCs/>
        </w:rPr>
        <w:t>31</w:t>
      </w:r>
      <w:r w:rsidRPr="009B054C">
        <w:rPr>
          <w:rFonts w:ascii="Calibri" w:hAnsi="Calibri"/>
        </w:rPr>
        <w:t>(5), 10–15.</w:t>
      </w:r>
    </w:p>
    <w:p w14:paraId="17740B53" w14:textId="77777777" w:rsidR="009B054C" w:rsidRPr="009B054C" w:rsidRDefault="009B054C" w:rsidP="009B054C">
      <w:pPr>
        <w:pStyle w:val="Bibliography"/>
        <w:rPr>
          <w:rFonts w:ascii="Calibri" w:hAnsi="Calibri"/>
        </w:rPr>
      </w:pPr>
      <w:r w:rsidRPr="009B054C">
        <w:rPr>
          <w:rFonts w:ascii="Calibri" w:hAnsi="Calibri"/>
        </w:rPr>
        <w:t xml:space="preserve">Kreber, C. (2002). Teaching Excellence, Teaching Expertise, and the Scholarship of Teaching. </w:t>
      </w:r>
      <w:r w:rsidRPr="009B054C">
        <w:rPr>
          <w:rFonts w:ascii="Calibri" w:hAnsi="Calibri"/>
          <w:i/>
          <w:iCs/>
        </w:rPr>
        <w:t>Innovative Higher Education</w:t>
      </w:r>
      <w:r w:rsidRPr="009B054C">
        <w:rPr>
          <w:rFonts w:ascii="Calibri" w:hAnsi="Calibri"/>
        </w:rPr>
        <w:t xml:space="preserve">, </w:t>
      </w:r>
      <w:r w:rsidRPr="009B054C">
        <w:rPr>
          <w:rFonts w:ascii="Calibri" w:hAnsi="Calibri"/>
          <w:i/>
          <w:iCs/>
        </w:rPr>
        <w:t>27</w:t>
      </w:r>
      <w:r w:rsidRPr="009B054C">
        <w:rPr>
          <w:rFonts w:ascii="Calibri" w:hAnsi="Calibri"/>
        </w:rPr>
        <w:t>(1), 5.</w:t>
      </w:r>
    </w:p>
    <w:p w14:paraId="59E33A74" w14:textId="77777777" w:rsidR="009B054C" w:rsidRPr="009B054C" w:rsidRDefault="009B054C" w:rsidP="009B054C">
      <w:pPr>
        <w:pStyle w:val="Bibliography"/>
        <w:rPr>
          <w:rFonts w:ascii="Calibri" w:hAnsi="Calibri"/>
        </w:rPr>
      </w:pPr>
      <w:r w:rsidRPr="009B054C">
        <w:rPr>
          <w:rFonts w:ascii="Calibri" w:hAnsi="Calibri"/>
        </w:rPr>
        <w:t xml:space="preserve">Land, R., Meyer, J. H. F., &amp; Baillie, C. (Eds.). (2010). Editors’ Preface: Threshold Concepts and Transformational Learning. In </w:t>
      </w:r>
      <w:r w:rsidRPr="009B054C">
        <w:rPr>
          <w:rFonts w:ascii="Calibri" w:hAnsi="Calibri"/>
          <w:i/>
          <w:iCs/>
        </w:rPr>
        <w:t>Threshold Concepts and Transformational Learning</w:t>
      </w:r>
      <w:r w:rsidRPr="009B054C">
        <w:rPr>
          <w:rFonts w:ascii="Calibri" w:hAnsi="Calibri"/>
        </w:rPr>
        <w:t xml:space="preserve"> (pp. ix–xlii). Rotterdam: Sense Publishers.</w:t>
      </w:r>
    </w:p>
    <w:p w14:paraId="7D466308" w14:textId="77777777" w:rsidR="009B054C" w:rsidRPr="009B054C" w:rsidRDefault="009B054C" w:rsidP="009B054C">
      <w:pPr>
        <w:pStyle w:val="Bibliography"/>
        <w:rPr>
          <w:rFonts w:ascii="Calibri" w:hAnsi="Calibri"/>
        </w:rPr>
      </w:pPr>
      <w:r w:rsidRPr="009B054C">
        <w:rPr>
          <w:rFonts w:ascii="Calibri" w:hAnsi="Calibri"/>
        </w:rPr>
        <w:t xml:space="preserve">McLean, J. (2009). Triggering Engagement in SoTL through Threshold Concepts. </w:t>
      </w:r>
      <w:r w:rsidRPr="009B054C">
        <w:rPr>
          <w:rFonts w:ascii="Calibri" w:hAnsi="Calibri"/>
          <w:i/>
          <w:iCs/>
        </w:rPr>
        <w:t>International Journal for the Scholarship of Teaching and Learning</w:t>
      </w:r>
      <w:r w:rsidRPr="009B054C">
        <w:rPr>
          <w:rFonts w:ascii="Calibri" w:hAnsi="Calibri"/>
        </w:rPr>
        <w:t xml:space="preserve">, </w:t>
      </w:r>
      <w:r w:rsidRPr="009B054C">
        <w:rPr>
          <w:rFonts w:ascii="Calibri" w:hAnsi="Calibri"/>
          <w:i/>
          <w:iCs/>
        </w:rPr>
        <w:t>3</w:t>
      </w:r>
      <w:r w:rsidRPr="009B054C">
        <w:rPr>
          <w:rFonts w:ascii="Calibri" w:hAnsi="Calibri"/>
        </w:rPr>
        <w:t>(2), Article 24.</w:t>
      </w:r>
    </w:p>
    <w:p w14:paraId="10522385" w14:textId="77777777" w:rsidR="009B054C" w:rsidRPr="009B054C" w:rsidRDefault="009B054C" w:rsidP="009B054C">
      <w:pPr>
        <w:pStyle w:val="Bibliography"/>
        <w:rPr>
          <w:rFonts w:ascii="Calibri" w:hAnsi="Calibri"/>
        </w:rPr>
      </w:pPr>
      <w:r w:rsidRPr="009B054C">
        <w:rPr>
          <w:rFonts w:ascii="Calibri" w:hAnsi="Calibri"/>
        </w:rPr>
        <w:t xml:space="preserve">Meyer, J. H. F., &amp; Land, R. (2003). Threshold concepts and troublesome knowledge: linkages to ways of thinking and practising within the disciplines. In </w:t>
      </w:r>
      <w:r w:rsidRPr="009B054C">
        <w:rPr>
          <w:rFonts w:ascii="Calibri" w:hAnsi="Calibri"/>
          <w:i/>
          <w:iCs/>
        </w:rPr>
        <w:t>Improving student learning: Improving student learning theory and practice - Ten Years On.</w:t>
      </w:r>
      <w:r w:rsidRPr="009B054C">
        <w:rPr>
          <w:rFonts w:ascii="Calibri" w:hAnsi="Calibri"/>
        </w:rPr>
        <w:t xml:space="preserve"> (Rust, C. (Ed)). Oxford: Oxford Centre for Staff and Learning Development.</w:t>
      </w:r>
    </w:p>
    <w:p w14:paraId="3A29514D" w14:textId="77777777" w:rsidR="009B054C" w:rsidRPr="009B054C" w:rsidRDefault="009B054C" w:rsidP="009B054C">
      <w:pPr>
        <w:pStyle w:val="Bibliography"/>
        <w:rPr>
          <w:rFonts w:ascii="Calibri" w:hAnsi="Calibri"/>
        </w:rPr>
      </w:pPr>
      <w:r w:rsidRPr="009B054C">
        <w:rPr>
          <w:rFonts w:ascii="Calibri" w:hAnsi="Calibri"/>
        </w:rPr>
        <w:lastRenderedPageBreak/>
        <w:t xml:space="preserve">Smith, K. (2012). </w:t>
      </w:r>
      <w:r w:rsidRPr="009B054C">
        <w:rPr>
          <w:rFonts w:ascii="Calibri" w:hAnsi="Calibri"/>
          <w:i/>
          <w:iCs/>
        </w:rPr>
        <w:t>An Investigation of student learning using threshold concepts in a first year cell biology course</w:t>
      </w:r>
      <w:r w:rsidRPr="009B054C">
        <w:rPr>
          <w:rFonts w:ascii="Calibri" w:hAnsi="Calibri"/>
        </w:rPr>
        <w:t xml:space="preserve"> (Master of Arts). University of British Columbia, Vancouver, Canada. Retrieved from https://circle-prod.library.ubc.ca/bitstream/handle/2429/41938/ubc_2012_spring_smith_karen.pdf?sequence=1</w:t>
      </w:r>
    </w:p>
    <w:p w14:paraId="5E20C259" w14:textId="77777777" w:rsidR="009B054C" w:rsidRPr="009B054C" w:rsidRDefault="009B054C" w:rsidP="009B054C">
      <w:pPr>
        <w:pStyle w:val="Bibliography"/>
        <w:rPr>
          <w:rFonts w:ascii="Calibri" w:hAnsi="Calibri"/>
        </w:rPr>
      </w:pPr>
      <w:r w:rsidRPr="009B054C">
        <w:rPr>
          <w:rFonts w:ascii="Calibri" w:hAnsi="Calibri"/>
        </w:rPr>
        <w:t xml:space="preserve">Taylor, C., Tzoumis, V., Meyer, J. H. F., &amp; Ross, P. (2012). Using a mixed methods approach to explore student understanding of hypotheses in Biology. In </w:t>
      </w:r>
      <w:r w:rsidRPr="009B054C">
        <w:rPr>
          <w:rFonts w:ascii="Calibri" w:hAnsi="Calibri"/>
          <w:i/>
          <w:iCs/>
        </w:rPr>
        <w:t>Proceedings of the National Academy’s Sixth Annual Conference and the Fourth Biennial Threshold Concepts Conference</w:t>
      </w:r>
      <w:r w:rsidRPr="009B054C">
        <w:rPr>
          <w:rFonts w:ascii="Calibri" w:hAnsi="Calibri"/>
        </w:rPr>
        <w:t xml:space="preserve"> (pp. 83–87). Trinity College, Dublin: NAIRTL. Retrieved from http://www.nairtl.ie/documents/EPub_2012Proceedings.pdf#page=93</w:t>
      </w:r>
    </w:p>
    <w:p w14:paraId="29CCC632" w14:textId="77777777" w:rsidR="009B054C" w:rsidRPr="009B054C" w:rsidRDefault="009B054C" w:rsidP="009B054C">
      <w:pPr>
        <w:pStyle w:val="Bibliography"/>
        <w:rPr>
          <w:rFonts w:ascii="Calibri" w:hAnsi="Calibri"/>
        </w:rPr>
      </w:pPr>
      <w:r w:rsidRPr="009B054C">
        <w:rPr>
          <w:rFonts w:ascii="Calibri" w:hAnsi="Calibri"/>
        </w:rPr>
        <w:t>Times Higher Education. (2008, January 3). A lesser breed? Retrieved 21 April 2013, from http://www.timeshighereducation.co.uk/features/a-lesser-breed/400361.article</w:t>
      </w:r>
    </w:p>
    <w:p w14:paraId="2FDC3B4A" w14:textId="77777777" w:rsidR="009B054C" w:rsidRPr="009B054C" w:rsidRDefault="009B054C" w:rsidP="009B054C">
      <w:pPr>
        <w:pStyle w:val="Bibliography"/>
        <w:rPr>
          <w:rFonts w:ascii="Calibri" w:hAnsi="Calibri"/>
        </w:rPr>
      </w:pPr>
      <w:r w:rsidRPr="009B054C">
        <w:rPr>
          <w:rFonts w:ascii="Calibri" w:hAnsi="Calibri"/>
        </w:rPr>
        <w:t xml:space="preserve">Timmermans, J. A. (2013). Identifying threshold concepts in the careers of educational developers. </w:t>
      </w:r>
      <w:r w:rsidRPr="009B054C">
        <w:rPr>
          <w:rFonts w:ascii="Calibri" w:hAnsi="Calibri"/>
          <w:i/>
          <w:iCs/>
        </w:rPr>
        <w:t>International Journal for Academic Development</w:t>
      </w:r>
      <w:r w:rsidRPr="009B054C">
        <w:rPr>
          <w:rFonts w:ascii="Calibri" w:hAnsi="Calibri"/>
        </w:rPr>
        <w:t>. http://doi.org/10.1080/1360144X.2014.895731</w:t>
      </w:r>
    </w:p>
    <w:p w14:paraId="2EDB5888" w14:textId="77777777" w:rsidR="009B054C" w:rsidRPr="009B054C" w:rsidRDefault="009B054C" w:rsidP="009B054C">
      <w:pPr>
        <w:pStyle w:val="Bibliography"/>
        <w:rPr>
          <w:rFonts w:ascii="Calibri" w:hAnsi="Calibri"/>
        </w:rPr>
      </w:pPr>
      <w:r w:rsidRPr="009B054C">
        <w:rPr>
          <w:rFonts w:ascii="Calibri" w:hAnsi="Calibri"/>
        </w:rPr>
        <w:t xml:space="preserve">Trigwell, K., Martin, E., Benjamin, J., &amp; Prosser, M. (2000). Scholarship of Teaching: a model. </w:t>
      </w:r>
      <w:r w:rsidRPr="009B054C">
        <w:rPr>
          <w:rFonts w:ascii="Calibri" w:hAnsi="Calibri"/>
          <w:i/>
          <w:iCs/>
        </w:rPr>
        <w:t>Higher Education Research &amp; Development</w:t>
      </w:r>
      <w:r w:rsidRPr="009B054C">
        <w:rPr>
          <w:rFonts w:ascii="Calibri" w:hAnsi="Calibri"/>
        </w:rPr>
        <w:t xml:space="preserve">, </w:t>
      </w:r>
      <w:r w:rsidRPr="009B054C">
        <w:rPr>
          <w:rFonts w:ascii="Calibri" w:hAnsi="Calibri"/>
          <w:i/>
          <w:iCs/>
        </w:rPr>
        <w:t>19</w:t>
      </w:r>
      <w:r w:rsidRPr="009B054C">
        <w:rPr>
          <w:rFonts w:ascii="Calibri" w:hAnsi="Calibri"/>
        </w:rPr>
        <w:t>(2), 155–168.</w:t>
      </w:r>
    </w:p>
    <w:p w14:paraId="2FE01A4C" w14:textId="77777777" w:rsidR="009B054C" w:rsidRPr="009B054C" w:rsidRDefault="009B054C" w:rsidP="009B054C">
      <w:pPr>
        <w:pStyle w:val="Bibliography"/>
        <w:rPr>
          <w:rFonts w:ascii="Calibri" w:hAnsi="Calibri"/>
        </w:rPr>
      </w:pPr>
      <w:r w:rsidRPr="009B054C">
        <w:rPr>
          <w:rFonts w:ascii="Calibri" w:hAnsi="Calibri"/>
        </w:rPr>
        <w:t>Webb, A. (2014). Threshold Concepts and the Scholarship of Teaching and Learning. Presented at the Threshold Concepts in Practice, Durham University.</w:t>
      </w:r>
    </w:p>
    <w:p w14:paraId="435D94A0" w14:textId="77777777" w:rsidR="00901B12" w:rsidRPr="00432503" w:rsidRDefault="00901B12" w:rsidP="00432503">
      <w:pPr>
        <w:spacing w:line="480" w:lineRule="auto"/>
      </w:pPr>
      <w:r>
        <w:fldChar w:fldCharType="end"/>
      </w:r>
    </w:p>
    <w:sectPr w:rsidR="00901B12" w:rsidRPr="00432503" w:rsidSect="004A3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7E"/>
    <w:rsid w:val="000B0F04"/>
    <w:rsid w:val="00101E1A"/>
    <w:rsid w:val="0010317C"/>
    <w:rsid w:val="00113EF0"/>
    <w:rsid w:val="00115A32"/>
    <w:rsid w:val="00170180"/>
    <w:rsid w:val="00173442"/>
    <w:rsid w:val="001B0CF6"/>
    <w:rsid w:val="001C66E0"/>
    <w:rsid w:val="001D1411"/>
    <w:rsid w:val="00213372"/>
    <w:rsid w:val="00257559"/>
    <w:rsid w:val="002913DD"/>
    <w:rsid w:val="00296E83"/>
    <w:rsid w:val="002B0A09"/>
    <w:rsid w:val="002B1910"/>
    <w:rsid w:val="002C3C3B"/>
    <w:rsid w:val="002E2ACE"/>
    <w:rsid w:val="002F6937"/>
    <w:rsid w:val="0033453E"/>
    <w:rsid w:val="00345A37"/>
    <w:rsid w:val="003655E2"/>
    <w:rsid w:val="003D207B"/>
    <w:rsid w:val="00401979"/>
    <w:rsid w:val="00404C32"/>
    <w:rsid w:val="00432503"/>
    <w:rsid w:val="00444628"/>
    <w:rsid w:val="00492D5F"/>
    <w:rsid w:val="004A3660"/>
    <w:rsid w:val="004B1342"/>
    <w:rsid w:val="004B5292"/>
    <w:rsid w:val="004E34A6"/>
    <w:rsid w:val="004E6157"/>
    <w:rsid w:val="004E686B"/>
    <w:rsid w:val="004F5929"/>
    <w:rsid w:val="004F71EF"/>
    <w:rsid w:val="00501D5F"/>
    <w:rsid w:val="00502DA2"/>
    <w:rsid w:val="00503090"/>
    <w:rsid w:val="00506CF9"/>
    <w:rsid w:val="00516F82"/>
    <w:rsid w:val="00534DE2"/>
    <w:rsid w:val="00546ED9"/>
    <w:rsid w:val="005509EC"/>
    <w:rsid w:val="00560DC2"/>
    <w:rsid w:val="005761EE"/>
    <w:rsid w:val="00590C32"/>
    <w:rsid w:val="005B22F2"/>
    <w:rsid w:val="005C355A"/>
    <w:rsid w:val="005D3C65"/>
    <w:rsid w:val="005E0DA7"/>
    <w:rsid w:val="005E3287"/>
    <w:rsid w:val="00606982"/>
    <w:rsid w:val="00622AEF"/>
    <w:rsid w:val="00633C7C"/>
    <w:rsid w:val="00655E1E"/>
    <w:rsid w:val="006851DA"/>
    <w:rsid w:val="006D2CC2"/>
    <w:rsid w:val="006F5D70"/>
    <w:rsid w:val="007020AA"/>
    <w:rsid w:val="00703EA3"/>
    <w:rsid w:val="0074453C"/>
    <w:rsid w:val="00767E66"/>
    <w:rsid w:val="00774000"/>
    <w:rsid w:val="007A4AC2"/>
    <w:rsid w:val="007A6D32"/>
    <w:rsid w:val="007E0950"/>
    <w:rsid w:val="007E16E0"/>
    <w:rsid w:val="007F0014"/>
    <w:rsid w:val="00800939"/>
    <w:rsid w:val="008314A9"/>
    <w:rsid w:val="00891203"/>
    <w:rsid w:val="008B44F5"/>
    <w:rsid w:val="008B4DC6"/>
    <w:rsid w:val="008E23AB"/>
    <w:rsid w:val="008E42A7"/>
    <w:rsid w:val="009005F8"/>
    <w:rsid w:val="00901B12"/>
    <w:rsid w:val="00906B7C"/>
    <w:rsid w:val="0094287E"/>
    <w:rsid w:val="00955ADA"/>
    <w:rsid w:val="00963FA9"/>
    <w:rsid w:val="00967F7B"/>
    <w:rsid w:val="009B054C"/>
    <w:rsid w:val="009C1F6B"/>
    <w:rsid w:val="009D057C"/>
    <w:rsid w:val="009D627C"/>
    <w:rsid w:val="009F6346"/>
    <w:rsid w:val="00A015E3"/>
    <w:rsid w:val="00A4278E"/>
    <w:rsid w:val="00A46B9A"/>
    <w:rsid w:val="00A64346"/>
    <w:rsid w:val="00AD39A5"/>
    <w:rsid w:val="00AD6286"/>
    <w:rsid w:val="00AF7716"/>
    <w:rsid w:val="00B168F0"/>
    <w:rsid w:val="00B26624"/>
    <w:rsid w:val="00B67EA6"/>
    <w:rsid w:val="00B812E0"/>
    <w:rsid w:val="00BA24B5"/>
    <w:rsid w:val="00BB379E"/>
    <w:rsid w:val="00BC6751"/>
    <w:rsid w:val="00BD1368"/>
    <w:rsid w:val="00BD308A"/>
    <w:rsid w:val="00BE3768"/>
    <w:rsid w:val="00BF5AF7"/>
    <w:rsid w:val="00C22B2F"/>
    <w:rsid w:val="00C24C74"/>
    <w:rsid w:val="00C61235"/>
    <w:rsid w:val="00CD6CA4"/>
    <w:rsid w:val="00CD7116"/>
    <w:rsid w:val="00CE2CFD"/>
    <w:rsid w:val="00CF5079"/>
    <w:rsid w:val="00CF5629"/>
    <w:rsid w:val="00D47D07"/>
    <w:rsid w:val="00D54093"/>
    <w:rsid w:val="00D70B07"/>
    <w:rsid w:val="00D73375"/>
    <w:rsid w:val="00D93CAA"/>
    <w:rsid w:val="00DC7A2E"/>
    <w:rsid w:val="00E15F1A"/>
    <w:rsid w:val="00E47106"/>
    <w:rsid w:val="00E64862"/>
    <w:rsid w:val="00E700AA"/>
    <w:rsid w:val="00EB610B"/>
    <w:rsid w:val="00EE3D14"/>
    <w:rsid w:val="00EE3FCD"/>
    <w:rsid w:val="00F13054"/>
    <w:rsid w:val="00F15BC5"/>
    <w:rsid w:val="00F167DA"/>
    <w:rsid w:val="00F246A1"/>
    <w:rsid w:val="00F345CA"/>
    <w:rsid w:val="00F3554C"/>
    <w:rsid w:val="00F53F90"/>
    <w:rsid w:val="00FA6FC0"/>
    <w:rsid w:val="00FD0417"/>
    <w:rsid w:val="00FF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204F"/>
  <w15:docId w15:val="{F6E9B8AF-0525-4945-AD4D-E72840F7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E66"/>
  </w:style>
  <w:style w:type="paragraph" w:styleId="Heading2">
    <w:name w:val="heading 2"/>
    <w:basedOn w:val="Normal"/>
    <w:link w:val="Heading2Char"/>
    <w:uiPriority w:val="9"/>
    <w:rsid w:val="00BE3768"/>
    <w:pPr>
      <w:spacing w:beforeLines="1" w:afterLines="1" w:line="240" w:lineRule="auto"/>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01B12"/>
    <w:pPr>
      <w:spacing w:after="0" w:line="480" w:lineRule="auto"/>
      <w:ind w:left="720" w:hanging="720"/>
    </w:pPr>
  </w:style>
  <w:style w:type="character" w:customStyle="1" w:styleId="Heading2Char">
    <w:name w:val="Heading 2 Char"/>
    <w:basedOn w:val="DefaultParagraphFont"/>
    <w:link w:val="Heading2"/>
    <w:uiPriority w:val="9"/>
    <w:rsid w:val="00BE3768"/>
    <w:rPr>
      <w:rFonts w:ascii="Times" w:hAnsi="Times"/>
      <w:b/>
      <w:sz w:val="36"/>
      <w:szCs w:val="20"/>
    </w:rPr>
  </w:style>
  <w:style w:type="table" w:styleId="TableGrid">
    <w:name w:val="Table Grid"/>
    <w:basedOn w:val="TableNormal"/>
    <w:uiPriority w:val="59"/>
    <w:rsid w:val="00BE376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F5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F5929"/>
  </w:style>
  <w:style w:type="character" w:customStyle="1" w:styleId="normaltextrun">
    <w:name w:val="normaltextrun"/>
    <w:basedOn w:val="DefaultParagraphFont"/>
    <w:rsid w:val="004F5929"/>
  </w:style>
  <w:style w:type="character" w:customStyle="1" w:styleId="findhit">
    <w:name w:val="findhit"/>
    <w:basedOn w:val="DefaultParagraphFont"/>
    <w:rsid w:val="004F5929"/>
  </w:style>
  <w:style w:type="character" w:customStyle="1" w:styleId="eop">
    <w:name w:val="eop"/>
    <w:basedOn w:val="DefaultParagraphFont"/>
    <w:rsid w:val="004F5929"/>
  </w:style>
  <w:style w:type="paragraph" w:styleId="BalloonText">
    <w:name w:val="Balloon Text"/>
    <w:basedOn w:val="Normal"/>
    <w:link w:val="BalloonTextChar"/>
    <w:uiPriority w:val="99"/>
    <w:semiHidden/>
    <w:unhideWhenUsed/>
    <w:rsid w:val="009D0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7C"/>
    <w:rPr>
      <w:rFonts w:ascii="Segoe UI" w:hAnsi="Segoe UI" w:cs="Segoe UI"/>
      <w:sz w:val="18"/>
      <w:szCs w:val="18"/>
    </w:rPr>
  </w:style>
  <w:style w:type="character" w:styleId="LineNumber">
    <w:name w:val="line number"/>
    <w:basedOn w:val="DefaultParagraphFont"/>
    <w:uiPriority w:val="99"/>
    <w:semiHidden/>
    <w:unhideWhenUsed/>
    <w:rsid w:val="004A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3136">
      <w:bodyDiv w:val="1"/>
      <w:marLeft w:val="0"/>
      <w:marRight w:val="0"/>
      <w:marTop w:val="0"/>
      <w:marBottom w:val="0"/>
      <w:divBdr>
        <w:top w:val="none" w:sz="0" w:space="0" w:color="auto"/>
        <w:left w:val="none" w:sz="0" w:space="0" w:color="auto"/>
        <w:bottom w:val="none" w:sz="0" w:space="0" w:color="auto"/>
        <w:right w:val="none" w:sz="0" w:space="0" w:color="auto"/>
      </w:divBdr>
    </w:div>
    <w:div w:id="298415637">
      <w:bodyDiv w:val="1"/>
      <w:marLeft w:val="0"/>
      <w:marRight w:val="0"/>
      <w:marTop w:val="0"/>
      <w:marBottom w:val="0"/>
      <w:divBdr>
        <w:top w:val="none" w:sz="0" w:space="0" w:color="auto"/>
        <w:left w:val="none" w:sz="0" w:space="0" w:color="auto"/>
        <w:bottom w:val="none" w:sz="0" w:space="0" w:color="auto"/>
        <w:right w:val="none" w:sz="0" w:space="0" w:color="auto"/>
      </w:divBdr>
      <w:divsChild>
        <w:div w:id="1613590937">
          <w:marLeft w:val="0"/>
          <w:marRight w:val="0"/>
          <w:marTop w:val="0"/>
          <w:marBottom w:val="0"/>
          <w:divBdr>
            <w:top w:val="none" w:sz="0" w:space="0" w:color="auto"/>
            <w:left w:val="none" w:sz="0" w:space="0" w:color="auto"/>
            <w:bottom w:val="none" w:sz="0" w:space="0" w:color="auto"/>
            <w:right w:val="none" w:sz="0" w:space="0" w:color="auto"/>
          </w:divBdr>
        </w:div>
      </w:divsChild>
    </w:div>
    <w:div w:id="323172177">
      <w:bodyDiv w:val="1"/>
      <w:marLeft w:val="0"/>
      <w:marRight w:val="0"/>
      <w:marTop w:val="0"/>
      <w:marBottom w:val="0"/>
      <w:divBdr>
        <w:top w:val="none" w:sz="0" w:space="0" w:color="auto"/>
        <w:left w:val="none" w:sz="0" w:space="0" w:color="auto"/>
        <w:bottom w:val="none" w:sz="0" w:space="0" w:color="auto"/>
        <w:right w:val="none" w:sz="0" w:space="0" w:color="auto"/>
      </w:divBdr>
    </w:div>
    <w:div w:id="704644941">
      <w:bodyDiv w:val="1"/>
      <w:marLeft w:val="0"/>
      <w:marRight w:val="0"/>
      <w:marTop w:val="0"/>
      <w:marBottom w:val="0"/>
      <w:divBdr>
        <w:top w:val="none" w:sz="0" w:space="0" w:color="auto"/>
        <w:left w:val="none" w:sz="0" w:space="0" w:color="auto"/>
        <w:bottom w:val="none" w:sz="0" w:space="0" w:color="auto"/>
        <w:right w:val="none" w:sz="0" w:space="0" w:color="auto"/>
      </w:divBdr>
    </w:div>
    <w:div w:id="74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24908729">
          <w:marLeft w:val="0"/>
          <w:marRight w:val="0"/>
          <w:marTop w:val="0"/>
          <w:marBottom w:val="0"/>
          <w:divBdr>
            <w:top w:val="none" w:sz="0" w:space="0" w:color="auto"/>
            <w:left w:val="none" w:sz="0" w:space="0" w:color="auto"/>
            <w:bottom w:val="none" w:sz="0" w:space="0" w:color="auto"/>
            <w:right w:val="none" w:sz="0" w:space="0" w:color="auto"/>
          </w:divBdr>
        </w:div>
      </w:divsChild>
    </w:div>
    <w:div w:id="1004089929">
      <w:bodyDiv w:val="1"/>
      <w:marLeft w:val="0"/>
      <w:marRight w:val="0"/>
      <w:marTop w:val="0"/>
      <w:marBottom w:val="0"/>
      <w:divBdr>
        <w:top w:val="none" w:sz="0" w:space="0" w:color="auto"/>
        <w:left w:val="none" w:sz="0" w:space="0" w:color="auto"/>
        <w:bottom w:val="none" w:sz="0" w:space="0" w:color="auto"/>
        <w:right w:val="none" w:sz="0" w:space="0" w:color="auto"/>
      </w:divBdr>
      <w:divsChild>
        <w:div w:id="679940074">
          <w:marLeft w:val="0"/>
          <w:marRight w:val="0"/>
          <w:marTop w:val="0"/>
          <w:marBottom w:val="0"/>
          <w:divBdr>
            <w:top w:val="none" w:sz="0" w:space="0" w:color="auto"/>
            <w:left w:val="none" w:sz="0" w:space="0" w:color="auto"/>
            <w:bottom w:val="none" w:sz="0" w:space="0" w:color="auto"/>
            <w:right w:val="none" w:sz="0" w:space="0" w:color="auto"/>
          </w:divBdr>
        </w:div>
        <w:div w:id="34623705">
          <w:marLeft w:val="0"/>
          <w:marRight w:val="0"/>
          <w:marTop w:val="0"/>
          <w:marBottom w:val="0"/>
          <w:divBdr>
            <w:top w:val="none" w:sz="0" w:space="0" w:color="auto"/>
            <w:left w:val="none" w:sz="0" w:space="0" w:color="auto"/>
            <w:bottom w:val="none" w:sz="0" w:space="0" w:color="auto"/>
            <w:right w:val="none" w:sz="0" w:space="0" w:color="auto"/>
          </w:divBdr>
        </w:div>
      </w:divsChild>
    </w:div>
    <w:div w:id="1197615965">
      <w:bodyDiv w:val="1"/>
      <w:marLeft w:val="0"/>
      <w:marRight w:val="0"/>
      <w:marTop w:val="0"/>
      <w:marBottom w:val="0"/>
      <w:divBdr>
        <w:top w:val="none" w:sz="0" w:space="0" w:color="auto"/>
        <w:left w:val="none" w:sz="0" w:space="0" w:color="auto"/>
        <w:bottom w:val="none" w:sz="0" w:space="0" w:color="auto"/>
        <w:right w:val="none" w:sz="0" w:space="0" w:color="auto"/>
      </w:divBdr>
    </w:div>
    <w:div w:id="1406217621">
      <w:bodyDiv w:val="1"/>
      <w:marLeft w:val="0"/>
      <w:marRight w:val="0"/>
      <w:marTop w:val="0"/>
      <w:marBottom w:val="0"/>
      <w:divBdr>
        <w:top w:val="none" w:sz="0" w:space="0" w:color="auto"/>
        <w:left w:val="none" w:sz="0" w:space="0" w:color="auto"/>
        <w:bottom w:val="none" w:sz="0" w:space="0" w:color="auto"/>
        <w:right w:val="none" w:sz="0" w:space="0" w:color="auto"/>
      </w:divBdr>
    </w:div>
    <w:div w:id="21316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8940</Words>
  <Characters>50961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Tierney</dc:creator>
  <cp:keywords/>
  <dc:description/>
  <cp:lastModifiedBy>Tierney, Anne Margaret</cp:lastModifiedBy>
  <cp:revision>2</cp:revision>
  <dcterms:created xsi:type="dcterms:W3CDTF">2021-09-07T14:37:00Z</dcterms:created>
  <dcterms:modified xsi:type="dcterms:W3CDTF">2021-09-07T14:37:00Z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id="oqmLBdls"/&gt;&lt;style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