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6C" w:rsidRDefault="00F91C6C" w:rsidP="00981D29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8314CA1" wp14:editId="7772BE43">
            <wp:extent cx="8324850" cy="62238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7726" cy="62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lastRenderedPageBreak/>
        <w:t>Task relevance:</w:t>
      </w:r>
      <w:r w:rsidRPr="00F91C6C">
        <w:rPr>
          <w:sz w:val="28"/>
          <w:szCs w:val="28"/>
        </w:rPr>
        <w:t xml:space="preserve"> The task is meaningful in the eye of the student, and relevant to their future aspirations;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T</w:t>
      </w:r>
      <w:r w:rsidRPr="00F91C6C">
        <w:rPr>
          <w:b/>
          <w:bCs/>
          <w:sz w:val="28"/>
          <w:szCs w:val="28"/>
        </w:rPr>
        <w:t>ask structure</w:t>
      </w:r>
      <w:r w:rsidRPr="00F91C6C">
        <w:rPr>
          <w:sz w:val="28"/>
          <w:szCs w:val="28"/>
        </w:rPr>
        <w:t>: Authentic assessment typically involves tasks with open structures or open-ended solutions, which require the student to draw knowledge and skills from multiple units of learnin</w:t>
      </w:r>
      <w:r w:rsidRPr="00F91C6C">
        <w:rPr>
          <w:sz w:val="28"/>
          <w:szCs w:val="28"/>
        </w:rPr>
        <w:t>g already undertaken (e.g. modules);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Environment</w:t>
      </w:r>
      <w:r w:rsidRPr="00F91C6C">
        <w:rPr>
          <w:sz w:val="28"/>
          <w:szCs w:val="28"/>
        </w:rPr>
        <w:t>: Authentic assessment often takes place in a similar or simulated environment to</w:t>
      </w:r>
      <w:r w:rsidRPr="00F91C6C">
        <w:rPr>
          <w:sz w:val="28"/>
          <w:szCs w:val="28"/>
        </w:rPr>
        <w:t xml:space="preserve"> the real-world setting, drawing on resources and tools appropriate to that environment, e.g. documents, data, digital tools or research;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Collaboration</w:t>
      </w:r>
      <w:r w:rsidRPr="00F91C6C">
        <w:rPr>
          <w:sz w:val="28"/>
          <w:szCs w:val="28"/>
        </w:rPr>
        <w:t>: An authentic assessment task typically involves collaboration similar to that experienced by practitioners, professionals, or experts in the field.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Authentic graduate ta</w:t>
      </w:r>
      <w:r w:rsidRPr="00F91C6C">
        <w:rPr>
          <w:b/>
          <w:bCs/>
          <w:sz w:val="28"/>
          <w:szCs w:val="28"/>
        </w:rPr>
        <w:t>sk</w:t>
      </w:r>
      <w:r w:rsidRPr="00F91C6C">
        <w:rPr>
          <w:sz w:val="28"/>
          <w:szCs w:val="28"/>
        </w:rPr>
        <w:t>: Authentic assessment requires the development of knowledge, skills, attributes, products or performance that could be, or is, recognised as authentic by a practitioner, professional, or ex</w:t>
      </w:r>
      <w:r w:rsidRPr="00F91C6C">
        <w:rPr>
          <w:sz w:val="28"/>
          <w:szCs w:val="28"/>
        </w:rPr>
        <w:t>pert in the field; 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Synthesis of skills, knowledge, attributes</w:t>
      </w:r>
      <w:r w:rsidRPr="00F91C6C">
        <w:rPr>
          <w:sz w:val="28"/>
          <w:szCs w:val="28"/>
        </w:rPr>
        <w:t>: Students are required to demonstrate their ability to analyse the</w:t>
      </w:r>
      <w:r w:rsidRPr="00F91C6C">
        <w:rPr>
          <w:sz w:val="28"/>
          <w:szCs w:val="28"/>
        </w:rPr>
        <w:t xml:space="preserve"> task and synthesise, from the range of skills, knowledge and attributes that they have acquired, those which will be necessary for the completion of a specific outcome; 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Metacognition</w:t>
      </w:r>
      <w:r w:rsidRPr="00F91C6C">
        <w:rPr>
          <w:sz w:val="28"/>
          <w:szCs w:val="28"/>
        </w:rPr>
        <w:t>: Authentic assessment requires students to demonstrate metacognition by means of critical reflection, self-assessment or evaluation. As such, it usually involves elements of self- and peer-review as a</w:t>
      </w:r>
      <w:r w:rsidRPr="00F91C6C">
        <w:rPr>
          <w:sz w:val="28"/>
          <w:szCs w:val="28"/>
        </w:rPr>
        <w:t>n explicit part of the assessment process;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Ownership</w:t>
      </w:r>
      <w:r w:rsidRPr="00F91C6C">
        <w:rPr>
          <w:sz w:val="28"/>
          <w:szCs w:val="28"/>
        </w:rPr>
        <w:t>: Typically, students will have a degree of ownership of/within the task. For</w:t>
      </w:r>
      <w:r w:rsidRPr="00F91C6C">
        <w:rPr>
          <w:sz w:val="28"/>
          <w:szCs w:val="28"/>
        </w:rPr>
        <w:t xml:space="preserve"> example they may negotiate the subject focus of the task, or have freedom in choosing the format, tools used or assessment criteria;</w:t>
      </w:r>
    </w:p>
    <w:p w:rsidR="00000000" w:rsidRPr="00F91C6C" w:rsidRDefault="00981D29" w:rsidP="00F91C6C">
      <w:pPr>
        <w:numPr>
          <w:ilvl w:val="0"/>
          <w:numId w:val="1"/>
        </w:numPr>
        <w:rPr>
          <w:sz w:val="28"/>
          <w:szCs w:val="28"/>
        </w:rPr>
      </w:pPr>
      <w:r w:rsidRPr="00F91C6C">
        <w:rPr>
          <w:b/>
          <w:bCs/>
          <w:sz w:val="28"/>
          <w:szCs w:val="28"/>
        </w:rPr>
        <w:t>Non-traditional formats</w:t>
      </w:r>
      <w:r w:rsidRPr="00F91C6C">
        <w:rPr>
          <w:sz w:val="28"/>
          <w:szCs w:val="28"/>
        </w:rPr>
        <w:t>: Authentic assessment is usually presented via more non-traditional assessment methods (e.g. beyond exams and MCQs) and at different asses</w:t>
      </w:r>
      <w:r w:rsidR="00F91C6C" w:rsidRPr="00F91C6C">
        <w:rPr>
          <w:sz w:val="28"/>
          <w:szCs w:val="28"/>
        </w:rPr>
        <w:t>sment points (versus a one-off).</w:t>
      </w:r>
      <w:r w:rsidR="00F91C6C">
        <w:rPr>
          <w:sz w:val="28"/>
          <w:szCs w:val="28"/>
        </w:rPr>
        <w:br w:type="page"/>
      </w:r>
    </w:p>
    <w:p w:rsidR="00EA225E" w:rsidRDefault="009A33D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63F3138" wp14:editId="114FE8A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96400" cy="617220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225E" w:rsidSect="00F91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30B4"/>
    <w:multiLevelType w:val="hybridMultilevel"/>
    <w:tmpl w:val="37F65EE6"/>
    <w:lvl w:ilvl="0" w:tplc="39BE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D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E6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A7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02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4A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4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8D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2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6C"/>
    <w:rsid w:val="007704C7"/>
    <w:rsid w:val="00981D29"/>
    <w:rsid w:val="00997279"/>
    <w:rsid w:val="009A33D9"/>
    <w:rsid w:val="00EA225E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E90F"/>
  <w15:chartTrackingRefBased/>
  <w15:docId w15:val="{2E6511B4-7CA6-43BC-BB1D-1CAEB7F0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Working towards authentic assessment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Current assessment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Task relevance</c:v>
                </c:pt>
                <c:pt idx="1">
                  <c:v>Open-ended structure</c:v>
                </c:pt>
                <c:pt idx="2">
                  <c:v>Environment</c:v>
                </c:pt>
                <c:pt idx="3">
                  <c:v>Collaboration</c:v>
                </c:pt>
                <c:pt idx="4">
                  <c:v>Authentic graduate task</c:v>
                </c:pt>
                <c:pt idx="5">
                  <c:v>Synthesis of skills, knowledge, attributes </c:v>
                </c:pt>
                <c:pt idx="6">
                  <c:v>Ownership</c:v>
                </c:pt>
                <c:pt idx="7">
                  <c:v>Metacognition</c:v>
                </c:pt>
                <c:pt idx="8">
                  <c:v>Non-traditional formats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E9-48AA-A0A5-822FC39F22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Future assessment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Sheet1!$A$2:$A$10</c:f>
              <c:strCache>
                <c:ptCount val="9"/>
                <c:pt idx="0">
                  <c:v>Task relevance</c:v>
                </c:pt>
                <c:pt idx="1">
                  <c:v>Open-ended structure</c:v>
                </c:pt>
                <c:pt idx="2">
                  <c:v>Environment</c:v>
                </c:pt>
                <c:pt idx="3">
                  <c:v>Collaboration</c:v>
                </c:pt>
                <c:pt idx="4">
                  <c:v>Authentic graduate task</c:v>
                </c:pt>
                <c:pt idx="5">
                  <c:v>Synthesis of skills, knowledge, attributes </c:v>
                </c:pt>
                <c:pt idx="6">
                  <c:v>Ownership</c:v>
                </c:pt>
                <c:pt idx="7">
                  <c:v>Metacognition</c:v>
                </c:pt>
                <c:pt idx="8">
                  <c:v>Non-traditional formats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A6E9-48AA-A0A5-822FC39F2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742664"/>
        <c:axId val="250743976"/>
      </c:radarChart>
      <c:catAx>
        <c:axId val="25074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43976"/>
        <c:crosses val="autoZero"/>
        <c:auto val="1"/>
        <c:lblAlgn val="ctr"/>
        <c:lblOffset val="100"/>
        <c:noMultiLvlLbl val="0"/>
      </c:catAx>
      <c:valAx>
        <c:axId val="250743976"/>
        <c:scaling>
          <c:orientation val="minMax"/>
          <c:max val="1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074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9DA49BA4B843823D9D9AD7EE81A1" ma:contentTypeVersion="12" ma:contentTypeDescription="Create a new document." ma:contentTypeScope="" ma:versionID="b3df4f7b04cbd3f730e2ff399f729f3e">
  <xsd:schema xmlns:xsd="http://www.w3.org/2001/XMLSchema" xmlns:xs="http://www.w3.org/2001/XMLSchema" xmlns:p="http://schemas.microsoft.com/office/2006/metadata/properties" xmlns:ns2="6cc7a458-946c-48e6-97c4-3ade547737fc" xmlns:ns3="1663445f-d028-4639-9860-ef58f333a26b" targetNamespace="http://schemas.microsoft.com/office/2006/metadata/properties" ma:root="true" ma:fieldsID="906e078fea9f031386e89678d1e2e432" ns2:_="" ns3:_="">
    <xsd:import namespace="6cc7a458-946c-48e6-97c4-3ade547737fc"/>
    <xsd:import namespace="1663445f-d028-4639-9860-ef58f333a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7a458-946c-48e6-97c4-3ade54773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45f-d028-4639-9860-ef58f333a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D1C68-414F-4FDB-9047-C54F11473A32}"/>
</file>

<file path=customXml/itemProps2.xml><?xml version="1.0" encoding="utf-8"?>
<ds:datastoreItem xmlns:ds="http://schemas.openxmlformats.org/officeDocument/2006/customXml" ds:itemID="{04E232E5-F0E9-432E-B8ED-C91CDE7A91AF}"/>
</file>

<file path=customXml/itemProps3.xml><?xml version="1.0" encoding="utf-8"?>
<ds:datastoreItem xmlns:ds="http://schemas.openxmlformats.org/officeDocument/2006/customXml" ds:itemID="{389DC791-3E9C-4158-A80F-3F93C922C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Kate [evanske]</dc:creator>
  <cp:keywords/>
  <dc:description/>
  <cp:lastModifiedBy>Evans, Kate [evanske]</cp:lastModifiedBy>
  <cp:revision>3</cp:revision>
  <dcterms:created xsi:type="dcterms:W3CDTF">2018-11-28T12:22:00Z</dcterms:created>
  <dcterms:modified xsi:type="dcterms:W3CDTF">2018-11-28T12:23:00Z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0x010100EDF49DA49BA4B843823D9D9AD7EE81A1</vt:lpwstr>
  </property>
</Properties>
</file>